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DD526" w14:textId="77777777" w:rsidR="00843E7C" w:rsidRPr="00843E7C" w:rsidRDefault="00843E7C" w:rsidP="00843E7C">
      <w:pPr>
        <w:pStyle w:val="Titre1"/>
        <w:rPr>
          <w:rFonts w:ascii="Century Gothic" w:hAnsi="Century Gothic"/>
          <w:b/>
          <w:color w:val="auto"/>
          <w:sz w:val="28"/>
        </w:rPr>
      </w:pPr>
      <w:r w:rsidRPr="00843E7C">
        <w:rPr>
          <w:rFonts w:ascii="Century Gothic" w:hAnsi="Century Gothic"/>
          <w:b/>
          <w:color w:val="auto"/>
          <w:sz w:val="28"/>
        </w:rPr>
        <w:t>Compétences de la MRC de Portneuf</w:t>
      </w:r>
    </w:p>
    <w:p w14:paraId="0BD6EF92" w14:textId="77777777" w:rsidR="00843E7C" w:rsidRDefault="00843E7C" w:rsidP="003B40CD">
      <w:pPr>
        <w:tabs>
          <w:tab w:val="left" w:pos="1080"/>
          <w:tab w:val="left" w:pos="1440"/>
          <w:tab w:val="left" w:pos="6480"/>
        </w:tabs>
        <w:spacing w:line="240" w:lineRule="auto"/>
        <w:jc w:val="both"/>
        <w:rPr>
          <w:rFonts w:ascii="Century Gothic" w:hAnsi="Century Gothic"/>
          <w:sz w:val="24"/>
          <w:szCs w:val="24"/>
        </w:rPr>
      </w:pPr>
    </w:p>
    <w:p w14:paraId="4FB16292" w14:textId="77777777" w:rsidR="007B1FC9" w:rsidRPr="003B40CD" w:rsidRDefault="007B1FC9" w:rsidP="003B40CD">
      <w:pPr>
        <w:tabs>
          <w:tab w:val="left" w:pos="1080"/>
          <w:tab w:val="left" w:pos="1440"/>
          <w:tab w:val="left" w:pos="6480"/>
        </w:tabs>
        <w:spacing w:line="240" w:lineRule="auto"/>
        <w:jc w:val="both"/>
        <w:rPr>
          <w:rFonts w:ascii="Century Gothic" w:hAnsi="Century Gothic"/>
          <w:sz w:val="24"/>
          <w:szCs w:val="24"/>
        </w:rPr>
      </w:pPr>
      <w:r w:rsidRPr="003B40CD">
        <w:rPr>
          <w:rFonts w:ascii="Century Gothic" w:hAnsi="Century Gothic"/>
          <w:sz w:val="24"/>
          <w:szCs w:val="24"/>
        </w:rPr>
        <w:t xml:space="preserve">La MRC de Portneuf est un organisme </w:t>
      </w:r>
      <w:proofErr w:type="spellStart"/>
      <w:r w:rsidRPr="003B40CD">
        <w:rPr>
          <w:rFonts w:ascii="Century Gothic" w:hAnsi="Century Gothic"/>
          <w:sz w:val="24"/>
          <w:szCs w:val="24"/>
        </w:rPr>
        <w:t>supramunicipal</w:t>
      </w:r>
      <w:proofErr w:type="spellEnd"/>
      <w:r w:rsidRPr="003B40CD">
        <w:rPr>
          <w:rFonts w:ascii="Century Gothic" w:hAnsi="Century Gothic"/>
          <w:sz w:val="24"/>
          <w:szCs w:val="24"/>
        </w:rPr>
        <w:t xml:space="preserve"> dont les pouvoirs et les compétences sont conférés par différentes lois :</w:t>
      </w:r>
    </w:p>
    <w:p w14:paraId="631F4D29"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8" w:history="1">
        <w:r w:rsidR="007B1FC9" w:rsidRPr="003B40CD">
          <w:rPr>
            <w:rStyle w:val="Lienhypertexte"/>
            <w:rFonts w:ascii="Century Gothic" w:hAnsi="Century Gothic"/>
            <w:sz w:val="24"/>
            <w:szCs w:val="24"/>
          </w:rPr>
          <w:t>Loi sur l’aménagement et l’urbanisme</w:t>
        </w:r>
      </w:hyperlink>
      <w:r w:rsidR="007B1FC9" w:rsidRPr="003B40CD">
        <w:rPr>
          <w:rFonts w:ascii="Century Gothic" w:hAnsi="Century Gothic"/>
          <w:sz w:val="24"/>
          <w:szCs w:val="24"/>
        </w:rPr>
        <w:t>;</w:t>
      </w:r>
    </w:p>
    <w:p w14:paraId="42DFFABB"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9" w:history="1">
        <w:r w:rsidR="007B1FC9" w:rsidRPr="003B40CD">
          <w:rPr>
            <w:rStyle w:val="Lienhypertexte"/>
            <w:rFonts w:ascii="Century Gothic" w:hAnsi="Century Gothic"/>
            <w:sz w:val="24"/>
            <w:szCs w:val="24"/>
          </w:rPr>
          <w:t>Loi sur l’organisation territoriale municipale</w:t>
        </w:r>
      </w:hyperlink>
      <w:r w:rsidR="007B1FC9" w:rsidRPr="003B40CD">
        <w:rPr>
          <w:rFonts w:ascii="Century Gothic" w:hAnsi="Century Gothic"/>
          <w:sz w:val="24"/>
          <w:szCs w:val="24"/>
        </w:rPr>
        <w:t>;</w:t>
      </w:r>
    </w:p>
    <w:p w14:paraId="25A2B3CC"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10" w:history="1">
        <w:r w:rsidR="007B1FC9" w:rsidRPr="003B40CD">
          <w:rPr>
            <w:rStyle w:val="Lienhypertexte"/>
            <w:rFonts w:ascii="Century Gothic" w:hAnsi="Century Gothic"/>
            <w:sz w:val="24"/>
            <w:szCs w:val="24"/>
          </w:rPr>
          <w:t>Loi sur la sécurité incendie</w:t>
        </w:r>
      </w:hyperlink>
      <w:r w:rsidR="007B1FC9" w:rsidRPr="003B40CD">
        <w:rPr>
          <w:rFonts w:ascii="Century Gothic" w:hAnsi="Century Gothic"/>
          <w:sz w:val="24"/>
          <w:szCs w:val="24"/>
        </w:rPr>
        <w:t>;</w:t>
      </w:r>
    </w:p>
    <w:p w14:paraId="6DD8671B"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11" w:history="1">
        <w:r w:rsidR="007B1FC9" w:rsidRPr="003B40CD">
          <w:rPr>
            <w:rStyle w:val="Lienhypertexte"/>
            <w:rFonts w:ascii="Century Gothic" w:hAnsi="Century Gothic"/>
            <w:sz w:val="24"/>
            <w:szCs w:val="24"/>
          </w:rPr>
          <w:t>Loi sur la sécurité civile</w:t>
        </w:r>
      </w:hyperlink>
      <w:r w:rsidR="007B1FC9" w:rsidRPr="003B40CD">
        <w:rPr>
          <w:rFonts w:ascii="Century Gothic" w:hAnsi="Century Gothic"/>
          <w:sz w:val="24"/>
          <w:szCs w:val="24"/>
        </w:rPr>
        <w:t>;</w:t>
      </w:r>
    </w:p>
    <w:p w14:paraId="21F87A63"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12" w:history="1">
        <w:r w:rsidR="007B1FC9" w:rsidRPr="003B40CD">
          <w:rPr>
            <w:rStyle w:val="Lienhypertexte"/>
            <w:rFonts w:ascii="Century Gothic" w:hAnsi="Century Gothic"/>
            <w:sz w:val="24"/>
            <w:szCs w:val="24"/>
          </w:rPr>
          <w:t>Loi sur les compétences municipales</w:t>
        </w:r>
      </w:hyperlink>
      <w:r w:rsidR="007B1FC9" w:rsidRPr="003B40CD">
        <w:rPr>
          <w:rFonts w:ascii="Century Gothic" w:hAnsi="Century Gothic"/>
          <w:sz w:val="24"/>
          <w:szCs w:val="24"/>
        </w:rPr>
        <w:t>;</w:t>
      </w:r>
    </w:p>
    <w:p w14:paraId="547BD9F1"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13" w:history="1">
        <w:r w:rsidR="007B1FC9" w:rsidRPr="003B40CD">
          <w:rPr>
            <w:rStyle w:val="Lienhypertexte"/>
            <w:rFonts w:ascii="Century Gothic" w:hAnsi="Century Gothic"/>
            <w:sz w:val="24"/>
            <w:szCs w:val="24"/>
          </w:rPr>
          <w:t>Loi sur la fiscalité municipale</w:t>
        </w:r>
      </w:hyperlink>
      <w:r w:rsidR="007B1FC9" w:rsidRPr="003B40CD">
        <w:rPr>
          <w:rFonts w:ascii="Century Gothic" w:hAnsi="Century Gothic"/>
          <w:sz w:val="24"/>
          <w:szCs w:val="24"/>
        </w:rPr>
        <w:t>;</w:t>
      </w:r>
    </w:p>
    <w:p w14:paraId="2E64D24F"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14" w:history="1">
        <w:r w:rsidR="007B1FC9" w:rsidRPr="003B40CD">
          <w:rPr>
            <w:rStyle w:val="Lienhypertexte"/>
            <w:rFonts w:ascii="Century Gothic" w:hAnsi="Century Gothic"/>
            <w:sz w:val="24"/>
            <w:szCs w:val="24"/>
          </w:rPr>
          <w:t>Code municipal du Québec</w:t>
        </w:r>
      </w:hyperlink>
      <w:r w:rsidR="007B1FC9" w:rsidRPr="003B40CD">
        <w:rPr>
          <w:rFonts w:ascii="Century Gothic" w:hAnsi="Century Gothic"/>
          <w:sz w:val="24"/>
          <w:szCs w:val="24"/>
        </w:rPr>
        <w:t>;</w:t>
      </w:r>
    </w:p>
    <w:p w14:paraId="6CE4FFC8"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15" w:history="1">
        <w:r w:rsidR="007B1FC9" w:rsidRPr="003B40CD">
          <w:rPr>
            <w:rStyle w:val="Lienhypertexte"/>
            <w:rFonts w:ascii="Century Gothic" w:hAnsi="Century Gothic"/>
            <w:sz w:val="24"/>
            <w:szCs w:val="24"/>
          </w:rPr>
          <w:t>Loi sur la police</w:t>
        </w:r>
      </w:hyperlink>
      <w:r w:rsidR="007B1FC9" w:rsidRPr="003B40CD">
        <w:rPr>
          <w:rFonts w:ascii="Century Gothic" w:hAnsi="Century Gothic"/>
          <w:sz w:val="24"/>
          <w:szCs w:val="24"/>
        </w:rPr>
        <w:t>;</w:t>
      </w:r>
    </w:p>
    <w:p w14:paraId="283588C1"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16" w:history="1">
        <w:r w:rsidR="007B1FC9" w:rsidRPr="003B40CD">
          <w:rPr>
            <w:rStyle w:val="Lienhypertexte"/>
            <w:rFonts w:ascii="Century Gothic" w:hAnsi="Century Gothic"/>
            <w:sz w:val="24"/>
            <w:szCs w:val="24"/>
          </w:rPr>
          <w:t>Loi sur la qualité de l’environnement</w:t>
        </w:r>
      </w:hyperlink>
      <w:r w:rsidR="007B1FC9" w:rsidRPr="003B40CD">
        <w:rPr>
          <w:rFonts w:ascii="Century Gothic" w:hAnsi="Century Gothic"/>
          <w:sz w:val="24"/>
          <w:szCs w:val="24"/>
        </w:rPr>
        <w:t>;</w:t>
      </w:r>
    </w:p>
    <w:p w14:paraId="28CC1993"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17" w:history="1">
        <w:r w:rsidR="007B1FC9" w:rsidRPr="003B40CD">
          <w:rPr>
            <w:rStyle w:val="Lienhypertexte"/>
            <w:rFonts w:ascii="Century Gothic" w:hAnsi="Century Gothic"/>
            <w:sz w:val="24"/>
            <w:szCs w:val="24"/>
          </w:rPr>
          <w:t>Loi sur la protection du territoire et des activités agricoles</w:t>
        </w:r>
      </w:hyperlink>
      <w:r w:rsidR="007B1FC9" w:rsidRPr="003B40CD">
        <w:rPr>
          <w:rFonts w:ascii="Century Gothic" w:hAnsi="Century Gothic"/>
          <w:sz w:val="24"/>
          <w:szCs w:val="24"/>
        </w:rPr>
        <w:t>;</w:t>
      </w:r>
    </w:p>
    <w:p w14:paraId="38FDDE7D"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18" w:history="1">
        <w:r w:rsidR="007B1FC9" w:rsidRPr="003B40CD">
          <w:rPr>
            <w:rStyle w:val="Lienhypertexte"/>
            <w:rFonts w:ascii="Century Gothic" w:hAnsi="Century Gothic"/>
            <w:sz w:val="24"/>
            <w:szCs w:val="24"/>
          </w:rPr>
          <w:t>Loi sur la Société d’habitation du Québec</w:t>
        </w:r>
      </w:hyperlink>
      <w:r w:rsidR="007B1FC9" w:rsidRPr="003B40CD">
        <w:rPr>
          <w:rFonts w:ascii="Century Gothic" w:hAnsi="Century Gothic"/>
          <w:sz w:val="24"/>
          <w:szCs w:val="24"/>
        </w:rPr>
        <w:t>;</w:t>
      </w:r>
    </w:p>
    <w:p w14:paraId="7E4D4330"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19" w:history="1">
        <w:r w:rsidR="007B1FC9" w:rsidRPr="003B40CD">
          <w:rPr>
            <w:rStyle w:val="Lienhypertexte"/>
            <w:rFonts w:ascii="Century Gothic" w:hAnsi="Century Gothic"/>
            <w:sz w:val="24"/>
            <w:szCs w:val="24"/>
          </w:rPr>
          <w:t>Loi sur les forêts</w:t>
        </w:r>
      </w:hyperlink>
      <w:r w:rsidR="007B1FC9" w:rsidRPr="003B40CD">
        <w:rPr>
          <w:rFonts w:ascii="Century Gothic" w:hAnsi="Century Gothic"/>
          <w:sz w:val="24"/>
          <w:szCs w:val="24"/>
        </w:rPr>
        <w:t>;</w:t>
      </w:r>
    </w:p>
    <w:p w14:paraId="75178A36" w14:textId="77777777" w:rsidR="007424EB"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20" w:history="1">
        <w:r w:rsidR="007424EB" w:rsidRPr="003B40CD">
          <w:rPr>
            <w:rStyle w:val="Lienhypertexte"/>
            <w:rFonts w:ascii="Century Gothic" w:hAnsi="Century Gothic"/>
            <w:sz w:val="24"/>
            <w:szCs w:val="24"/>
          </w:rPr>
          <w:t>Loi sur les terres du domaine de l’État</w:t>
        </w:r>
      </w:hyperlink>
      <w:r w:rsidR="007424EB" w:rsidRPr="003B40CD">
        <w:rPr>
          <w:rFonts w:ascii="Century Gothic" w:hAnsi="Century Gothic"/>
          <w:sz w:val="24"/>
          <w:szCs w:val="24"/>
        </w:rPr>
        <w:t>;</w:t>
      </w:r>
    </w:p>
    <w:p w14:paraId="231E2A89" w14:textId="77777777" w:rsidR="007B1FC9" w:rsidRPr="003B40CD" w:rsidRDefault="006D60EB" w:rsidP="007B1FC9">
      <w:pPr>
        <w:numPr>
          <w:ilvl w:val="0"/>
          <w:numId w:val="7"/>
        </w:numPr>
        <w:tabs>
          <w:tab w:val="left" w:pos="900"/>
          <w:tab w:val="left" w:pos="1440"/>
          <w:tab w:val="left" w:pos="6480"/>
        </w:tabs>
        <w:spacing w:after="0" w:line="360" w:lineRule="auto"/>
        <w:ind w:firstLine="0"/>
        <w:jc w:val="both"/>
        <w:rPr>
          <w:rFonts w:ascii="Century Gothic" w:hAnsi="Century Gothic"/>
          <w:sz w:val="24"/>
          <w:szCs w:val="24"/>
        </w:rPr>
      </w:pPr>
      <w:hyperlink r:id="rId21" w:history="1">
        <w:r w:rsidR="007B1FC9" w:rsidRPr="003B40CD">
          <w:rPr>
            <w:rStyle w:val="Lienhypertexte"/>
            <w:rFonts w:ascii="Century Gothic" w:hAnsi="Century Gothic"/>
            <w:sz w:val="24"/>
            <w:szCs w:val="24"/>
          </w:rPr>
          <w:t>Loi sur le ministère des Finances et de l’Économie (MFEQ)</w:t>
        </w:r>
      </w:hyperlink>
      <w:r w:rsidR="007B1FC9" w:rsidRPr="003B40CD">
        <w:rPr>
          <w:rFonts w:ascii="Century Gothic" w:hAnsi="Century Gothic"/>
          <w:sz w:val="24"/>
          <w:szCs w:val="24"/>
        </w:rPr>
        <w:t>.</w:t>
      </w:r>
    </w:p>
    <w:p w14:paraId="5752996B" w14:textId="77777777" w:rsidR="003B40CD" w:rsidRDefault="003B40CD" w:rsidP="003B40CD">
      <w:pPr>
        <w:tabs>
          <w:tab w:val="left" w:pos="1080"/>
          <w:tab w:val="left" w:pos="1440"/>
          <w:tab w:val="left" w:pos="6480"/>
        </w:tabs>
        <w:spacing w:line="240" w:lineRule="auto"/>
        <w:jc w:val="both"/>
        <w:rPr>
          <w:rFonts w:ascii="Century Gothic" w:hAnsi="Century Gothic"/>
          <w:sz w:val="24"/>
          <w:szCs w:val="24"/>
        </w:rPr>
      </w:pPr>
    </w:p>
    <w:p w14:paraId="16D47AEF" w14:textId="77777777" w:rsidR="007B1FC9" w:rsidRPr="003B40CD" w:rsidRDefault="007B1FC9" w:rsidP="003B40CD">
      <w:pPr>
        <w:tabs>
          <w:tab w:val="left" w:pos="1080"/>
          <w:tab w:val="left" w:pos="1440"/>
          <w:tab w:val="left" w:pos="6480"/>
        </w:tabs>
        <w:spacing w:line="240" w:lineRule="auto"/>
        <w:jc w:val="both"/>
        <w:rPr>
          <w:rFonts w:ascii="Century Gothic" w:hAnsi="Century Gothic"/>
          <w:sz w:val="24"/>
          <w:szCs w:val="24"/>
        </w:rPr>
      </w:pPr>
      <w:r w:rsidRPr="003B40CD">
        <w:rPr>
          <w:rFonts w:ascii="Century Gothic" w:hAnsi="Century Gothic"/>
          <w:sz w:val="24"/>
          <w:szCs w:val="24"/>
        </w:rPr>
        <w:t>Ces lois guident la MRC dans les ententes et déclarations relatives aux délégations de compétences pour l’octroi de différents services aux municipalités ou aux citoyens. En outre, les pouvoirs qui sont délégués à la MRC sont de nature obligatoire ou facultative, et peuvent être concurrents ou exclusifs.</w:t>
      </w:r>
    </w:p>
    <w:p w14:paraId="707CED3A" w14:textId="77777777" w:rsidR="007B1FC9" w:rsidRPr="003B40CD" w:rsidRDefault="007B1FC9" w:rsidP="003B40CD">
      <w:pPr>
        <w:tabs>
          <w:tab w:val="left" w:pos="1080"/>
          <w:tab w:val="left" w:pos="1440"/>
          <w:tab w:val="left" w:pos="6480"/>
        </w:tabs>
        <w:spacing w:line="240" w:lineRule="auto"/>
        <w:jc w:val="both"/>
        <w:rPr>
          <w:rFonts w:ascii="Century Gothic" w:hAnsi="Century Gothic"/>
          <w:sz w:val="24"/>
          <w:szCs w:val="24"/>
        </w:rPr>
      </w:pPr>
      <w:r w:rsidRPr="003B40CD">
        <w:rPr>
          <w:rFonts w:ascii="Century Gothic" w:hAnsi="Century Gothic"/>
          <w:sz w:val="24"/>
          <w:szCs w:val="24"/>
        </w:rPr>
        <w:t xml:space="preserve">Pour de plus amples renseignements, consulter le guide explicatif intitulé </w:t>
      </w:r>
      <w:hyperlink r:id="rId22" w:history="1">
        <w:r w:rsidRPr="003B40CD">
          <w:rPr>
            <w:rStyle w:val="Lienhypertexte"/>
            <w:rFonts w:ascii="Century Gothic" w:hAnsi="Century Gothic"/>
            <w:sz w:val="24"/>
            <w:szCs w:val="24"/>
          </w:rPr>
          <w:t>La municipalité régionale de comté – Compétences et responsabilités</w:t>
        </w:r>
      </w:hyperlink>
      <w:r w:rsidRPr="003B40CD">
        <w:rPr>
          <w:rFonts w:ascii="Century Gothic" w:hAnsi="Century Gothic"/>
          <w:sz w:val="24"/>
          <w:szCs w:val="24"/>
        </w:rPr>
        <w:t xml:space="preserve"> du ministère des Affaires municipales, des Régions et de l’Occupation du territoire (MAM</w:t>
      </w:r>
      <w:r w:rsidR="00D3407F">
        <w:rPr>
          <w:rFonts w:ascii="Century Gothic" w:hAnsi="Century Gothic"/>
          <w:sz w:val="24"/>
          <w:szCs w:val="24"/>
        </w:rPr>
        <w:t>R</w:t>
      </w:r>
      <w:r w:rsidRPr="003B40CD">
        <w:rPr>
          <w:rFonts w:ascii="Century Gothic" w:hAnsi="Century Gothic"/>
          <w:sz w:val="24"/>
          <w:szCs w:val="24"/>
        </w:rPr>
        <w:t>OT)</w:t>
      </w:r>
      <w:r w:rsidR="0007370D">
        <w:rPr>
          <w:rFonts w:ascii="Century Gothic" w:hAnsi="Century Gothic"/>
          <w:sz w:val="24"/>
          <w:szCs w:val="24"/>
        </w:rPr>
        <w:t>.</w:t>
      </w:r>
    </w:p>
    <w:p w14:paraId="03A5B213" w14:textId="77777777" w:rsidR="007E6022" w:rsidRDefault="007E6022" w:rsidP="00D16C6C">
      <w:pPr>
        <w:pStyle w:val="Titre2"/>
        <w:rPr>
          <w:rFonts w:ascii="Century Gothic" w:hAnsi="Century Gothic"/>
          <w:color w:val="auto"/>
          <w:sz w:val="24"/>
          <w:szCs w:val="24"/>
        </w:rPr>
      </w:pPr>
    </w:p>
    <w:p w14:paraId="06AD3AE1" w14:textId="77777777" w:rsidR="003B40CD" w:rsidRDefault="003B40CD" w:rsidP="003B40CD"/>
    <w:p w14:paraId="3EB87127" w14:textId="77777777" w:rsidR="003B40CD" w:rsidRDefault="003B40CD" w:rsidP="003B40CD"/>
    <w:p w14:paraId="44D9AD79" w14:textId="77777777" w:rsidR="00843E7C" w:rsidRDefault="00843E7C" w:rsidP="00D16C6C">
      <w:pPr>
        <w:pStyle w:val="Titre2"/>
        <w:rPr>
          <w:rFonts w:ascii="Century Gothic" w:hAnsi="Century Gothic"/>
          <w:b/>
          <w:color w:val="auto"/>
          <w:sz w:val="24"/>
          <w:szCs w:val="24"/>
        </w:rPr>
      </w:pPr>
    </w:p>
    <w:p w14:paraId="6DE0DFA8" w14:textId="77777777" w:rsidR="007424EB" w:rsidRPr="003B40CD" w:rsidRDefault="00D16C6C" w:rsidP="00D16C6C">
      <w:pPr>
        <w:pStyle w:val="Titre2"/>
        <w:rPr>
          <w:rFonts w:ascii="Century Gothic" w:hAnsi="Century Gothic"/>
          <w:b/>
          <w:color w:val="auto"/>
          <w:sz w:val="24"/>
          <w:szCs w:val="24"/>
        </w:rPr>
      </w:pPr>
      <w:r w:rsidRPr="003B40CD">
        <w:rPr>
          <w:rFonts w:ascii="Century Gothic" w:hAnsi="Century Gothic"/>
          <w:b/>
          <w:color w:val="auto"/>
          <w:sz w:val="24"/>
          <w:szCs w:val="24"/>
        </w:rPr>
        <w:t xml:space="preserve">Compétences </w:t>
      </w:r>
      <w:r w:rsidR="007424EB" w:rsidRPr="003B40CD">
        <w:rPr>
          <w:rFonts w:ascii="Century Gothic" w:hAnsi="Century Gothic"/>
          <w:b/>
          <w:color w:val="auto"/>
          <w:sz w:val="24"/>
          <w:szCs w:val="24"/>
        </w:rPr>
        <w:t>obligatoires</w:t>
      </w:r>
    </w:p>
    <w:p w14:paraId="66F13507" w14:textId="45AF27A4" w:rsidR="007424EB" w:rsidRPr="003B40CD" w:rsidRDefault="006D60EB" w:rsidP="007424EB">
      <w:pPr>
        <w:numPr>
          <w:ilvl w:val="0"/>
          <w:numId w:val="8"/>
        </w:numPr>
        <w:shd w:val="clear" w:color="auto" w:fill="FFFFFF"/>
        <w:spacing w:before="100" w:beforeAutospacing="1" w:after="150" w:line="240" w:lineRule="auto"/>
        <w:ind w:left="0"/>
        <w:rPr>
          <w:rFonts w:ascii="Century Gothic" w:hAnsi="Century Gothic"/>
          <w:b/>
          <w:bCs/>
          <w:sz w:val="24"/>
          <w:szCs w:val="24"/>
        </w:rPr>
      </w:pPr>
      <w:hyperlink r:id="rId23" w:history="1">
        <w:r w:rsidR="007424EB" w:rsidRPr="003E5041">
          <w:rPr>
            <w:rStyle w:val="Lienhypertexte"/>
            <w:rFonts w:ascii="Century Gothic" w:hAnsi="Century Gothic"/>
            <w:sz w:val="24"/>
            <w:szCs w:val="24"/>
          </w:rPr>
          <w:t>Schéma d’aménageme</w:t>
        </w:r>
        <w:r w:rsidR="007424EB" w:rsidRPr="003E5041">
          <w:rPr>
            <w:rStyle w:val="Lienhypertexte"/>
            <w:rFonts w:ascii="Century Gothic" w:hAnsi="Century Gothic"/>
            <w:sz w:val="24"/>
            <w:szCs w:val="24"/>
          </w:rPr>
          <w:t>n</w:t>
        </w:r>
        <w:r w:rsidR="007424EB" w:rsidRPr="003E5041">
          <w:rPr>
            <w:rStyle w:val="Lienhypertexte"/>
            <w:rFonts w:ascii="Century Gothic" w:hAnsi="Century Gothic"/>
            <w:sz w:val="24"/>
            <w:szCs w:val="24"/>
          </w:rPr>
          <w:t>t et de développement</w:t>
        </w:r>
      </w:hyperlink>
      <w:r w:rsidR="00D3407F">
        <w:rPr>
          <w:rFonts w:ascii="Century Gothic" w:hAnsi="Century Gothic"/>
          <w:sz w:val="24"/>
          <w:szCs w:val="24"/>
        </w:rPr>
        <w:t>;</w:t>
      </w:r>
    </w:p>
    <w:p w14:paraId="4E8C3744" w14:textId="5F24A236" w:rsidR="007424EB" w:rsidRPr="003B40CD" w:rsidRDefault="006D60EB" w:rsidP="007424EB">
      <w:pPr>
        <w:numPr>
          <w:ilvl w:val="0"/>
          <w:numId w:val="8"/>
        </w:numPr>
        <w:shd w:val="clear" w:color="auto" w:fill="FFFFFF"/>
        <w:spacing w:before="100" w:beforeAutospacing="1" w:after="150" w:line="240" w:lineRule="auto"/>
        <w:ind w:left="0"/>
        <w:rPr>
          <w:rFonts w:ascii="Century Gothic" w:hAnsi="Century Gothic"/>
          <w:b/>
          <w:bCs/>
          <w:sz w:val="24"/>
          <w:szCs w:val="24"/>
        </w:rPr>
      </w:pPr>
      <w:hyperlink r:id="rId24" w:history="1">
        <w:r w:rsidR="00D16C6C" w:rsidRPr="00013758">
          <w:rPr>
            <w:rStyle w:val="Lienhypertexte"/>
            <w:rFonts w:ascii="Century Gothic" w:hAnsi="Century Gothic"/>
            <w:sz w:val="24"/>
            <w:szCs w:val="24"/>
          </w:rPr>
          <w:t>Évaluatio</w:t>
        </w:r>
        <w:r w:rsidR="00D16C6C" w:rsidRPr="00013758">
          <w:rPr>
            <w:rStyle w:val="Lienhypertexte"/>
            <w:rFonts w:ascii="Century Gothic" w:hAnsi="Century Gothic"/>
            <w:sz w:val="24"/>
            <w:szCs w:val="24"/>
          </w:rPr>
          <w:t>n</w:t>
        </w:r>
        <w:r w:rsidR="00D16C6C" w:rsidRPr="00013758">
          <w:rPr>
            <w:rStyle w:val="Lienhypertexte"/>
            <w:rFonts w:ascii="Century Gothic" w:hAnsi="Century Gothic"/>
            <w:sz w:val="24"/>
            <w:szCs w:val="24"/>
          </w:rPr>
          <w:t xml:space="preserve"> foncière</w:t>
        </w:r>
      </w:hyperlink>
      <w:r w:rsidR="00D3407F">
        <w:rPr>
          <w:rFonts w:ascii="Century Gothic" w:hAnsi="Century Gothic"/>
          <w:sz w:val="24"/>
          <w:szCs w:val="24"/>
        </w:rPr>
        <w:t>;</w:t>
      </w:r>
    </w:p>
    <w:p w14:paraId="743110DA" w14:textId="4A21AB79" w:rsidR="007424EB" w:rsidRPr="003B40CD" w:rsidRDefault="006D60EB" w:rsidP="007424EB">
      <w:pPr>
        <w:numPr>
          <w:ilvl w:val="0"/>
          <w:numId w:val="8"/>
        </w:numPr>
        <w:shd w:val="clear" w:color="auto" w:fill="FFFFFF"/>
        <w:spacing w:before="100" w:beforeAutospacing="1" w:after="150" w:line="240" w:lineRule="auto"/>
        <w:ind w:left="0"/>
        <w:rPr>
          <w:rFonts w:ascii="Century Gothic" w:hAnsi="Century Gothic"/>
          <w:b/>
          <w:bCs/>
          <w:sz w:val="24"/>
          <w:szCs w:val="24"/>
        </w:rPr>
      </w:pPr>
      <w:hyperlink r:id="rId25" w:history="1">
        <w:r w:rsidR="007424EB" w:rsidRPr="00013758">
          <w:rPr>
            <w:rStyle w:val="Lienhypertexte"/>
            <w:rFonts w:ascii="Century Gothic" w:hAnsi="Century Gothic"/>
            <w:sz w:val="24"/>
            <w:szCs w:val="24"/>
          </w:rPr>
          <w:t xml:space="preserve">Administration des </w:t>
        </w:r>
        <w:r w:rsidR="00D3407F" w:rsidRPr="00013758">
          <w:rPr>
            <w:rStyle w:val="Lienhypertexte"/>
            <w:rFonts w:ascii="Century Gothic" w:hAnsi="Century Gothic"/>
            <w:sz w:val="24"/>
            <w:szCs w:val="24"/>
          </w:rPr>
          <w:t>T</w:t>
        </w:r>
        <w:r w:rsidR="007424EB" w:rsidRPr="00013758">
          <w:rPr>
            <w:rStyle w:val="Lienhypertexte"/>
            <w:rFonts w:ascii="Century Gothic" w:hAnsi="Century Gothic"/>
            <w:sz w:val="24"/>
            <w:szCs w:val="24"/>
          </w:rPr>
          <w:t xml:space="preserve">erritoires non </w:t>
        </w:r>
        <w:r w:rsidR="007424EB" w:rsidRPr="00013758">
          <w:rPr>
            <w:rStyle w:val="Lienhypertexte"/>
            <w:rFonts w:ascii="Century Gothic" w:hAnsi="Century Gothic"/>
            <w:sz w:val="24"/>
            <w:szCs w:val="24"/>
          </w:rPr>
          <w:t>o</w:t>
        </w:r>
        <w:r w:rsidR="007424EB" w:rsidRPr="00013758">
          <w:rPr>
            <w:rStyle w:val="Lienhypertexte"/>
            <w:rFonts w:ascii="Century Gothic" w:hAnsi="Century Gothic"/>
            <w:sz w:val="24"/>
            <w:szCs w:val="24"/>
          </w:rPr>
          <w:t>rganisés (TNO)</w:t>
        </w:r>
        <w:r w:rsidR="00D3407F" w:rsidRPr="00013758">
          <w:rPr>
            <w:rStyle w:val="Lienhypertexte"/>
            <w:rFonts w:ascii="Century Gothic" w:hAnsi="Century Gothic"/>
            <w:sz w:val="24"/>
            <w:szCs w:val="24"/>
          </w:rPr>
          <w:t>;</w:t>
        </w:r>
      </w:hyperlink>
    </w:p>
    <w:p w14:paraId="196083A4" w14:textId="313081AF" w:rsidR="007424EB" w:rsidRPr="003B40CD" w:rsidRDefault="006D60EB" w:rsidP="007424EB">
      <w:pPr>
        <w:numPr>
          <w:ilvl w:val="0"/>
          <w:numId w:val="8"/>
        </w:numPr>
        <w:shd w:val="clear" w:color="auto" w:fill="FFFFFF"/>
        <w:spacing w:before="100" w:beforeAutospacing="1" w:after="150" w:line="240" w:lineRule="auto"/>
        <w:ind w:left="0"/>
        <w:rPr>
          <w:rFonts w:ascii="Century Gothic" w:hAnsi="Century Gothic"/>
          <w:b/>
          <w:bCs/>
          <w:sz w:val="24"/>
          <w:szCs w:val="24"/>
        </w:rPr>
      </w:pPr>
      <w:hyperlink r:id="rId26" w:history="1">
        <w:r w:rsidR="00D16C6C" w:rsidRPr="00013758">
          <w:rPr>
            <w:rStyle w:val="Lienhypertexte"/>
            <w:rFonts w:ascii="Century Gothic" w:hAnsi="Century Gothic"/>
            <w:sz w:val="24"/>
            <w:szCs w:val="24"/>
          </w:rPr>
          <w:t>Gestion des cours d’e</w:t>
        </w:r>
        <w:r w:rsidR="00D16C6C" w:rsidRPr="00013758">
          <w:rPr>
            <w:rStyle w:val="Lienhypertexte"/>
            <w:rFonts w:ascii="Century Gothic" w:hAnsi="Century Gothic"/>
            <w:sz w:val="24"/>
            <w:szCs w:val="24"/>
          </w:rPr>
          <w:t>a</w:t>
        </w:r>
        <w:r w:rsidR="00D16C6C" w:rsidRPr="00013758">
          <w:rPr>
            <w:rStyle w:val="Lienhypertexte"/>
            <w:rFonts w:ascii="Century Gothic" w:hAnsi="Century Gothic"/>
            <w:sz w:val="24"/>
            <w:szCs w:val="24"/>
          </w:rPr>
          <w:t>u</w:t>
        </w:r>
        <w:r w:rsidR="00D3407F" w:rsidRPr="00013758">
          <w:rPr>
            <w:rStyle w:val="Lienhypertexte"/>
            <w:rFonts w:ascii="Century Gothic" w:hAnsi="Century Gothic"/>
            <w:sz w:val="24"/>
            <w:szCs w:val="24"/>
          </w:rPr>
          <w:t>;</w:t>
        </w:r>
      </w:hyperlink>
    </w:p>
    <w:p w14:paraId="26A6FB94" w14:textId="4A06186C" w:rsidR="007424EB" w:rsidRPr="003B40CD" w:rsidRDefault="00F30AE2" w:rsidP="007424EB">
      <w:pPr>
        <w:numPr>
          <w:ilvl w:val="0"/>
          <w:numId w:val="8"/>
        </w:numPr>
        <w:shd w:val="clear" w:color="auto" w:fill="FFFFFF"/>
        <w:spacing w:before="100" w:beforeAutospacing="1" w:after="150" w:line="240" w:lineRule="auto"/>
        <w:ind w:left="0"/>
        <w:rPr>
          <w:rFonts w:ascii="Century Gothic" w:hAnsi="Century Gothic"/>
          <w:b/>
          <w:bCs/>
          <w:sz w:val="24"/>
          <w:szCs w:val="24"/>
        </w:rPr>
      </w:pPr>
      <w:hyperlink r:id="rId27" w:history="1">
        <w:r w:rsidR="007424EB" w:rsidRPr="00F30AE2">
          <w:rPr>
            <w:rStyle w:val="Lienhypertexte"/>
            <w:rFonts w:ascii="Century Gothic" w:hAnsi="Century Gothic"/>
            <w:sz w:val="24"/>
            <w:szCs w:val="24"/>
          </w:rPr>
          <w:t>Vente pour défaut de pai</w:t>
        </w:r>
        <w:r w:rsidR="007424EB" w:rsidRPr="00F30AE2">
          <w:rPr>
            <w:rStyle w:val="Lienhypertexte"/>
            <w:rFonts w:ascii="Century Gothic" w:hAnsi="Century Gothic"/>
            <w:sz w:val="24"/>
            <w:szCs w:val="24"/>
          </w:rPr>
          <w:t>e</w:t>
        </w:r>
        <w:r w:rsidR="007424EB" w:rsidRPr="00F30AE2">
          <w:rPr>
            <w:rStyle w:val="Lienhypertexte"/>
            <w:rFonts w:ascii="Century Gothic" w:hAnsi="Century Gothic"/>
            <w:sz w:val="24"/>
            <w:szCs w:val="24"/>
          </w:rPr>
          <w:t>ment de taxes</w:t>
        </w:r>
      </w:hyperlink>
      <w:r w:rsidR="00D3407F">
        <w:rPr>
          <w:rFonts w:ascii="Century Gothic" w:hAnsi="Century Gothic"/>
          <w:sz w:val="24"/>
          <w:szCs w:val="24"/>
        </w:rPr>
        <w:t>;</w:t>
      </w:r>
    </w:p>
    <w:p w14:paraId="6F0E1DCD" w14:textId="12B6CADD" w:rsidR="007424EB" w:rsidRPr="003B40CD" w:rsidRDefault="00F30AE2" w:rsidP="007424EB">
      <w:pPr>
        <w:numPr>
          <w:ilvl w:val="0"/>
          <w:numId w:val="8"/>
        </w:numPr>
        <w:shd w:val="clear" w:color="auto" w:fill="FFFFFF"/>
        <w:spacing w:before="100" w:beforeAutospacing="1" w:after="150" w:line="240" w:lineRule="auto"/>
        <w:ind w:left="0"/>
        <w:rPr>
          <w:rFonts w:ascii="Century Gothic" w:hAnsi="Century Gothic"/>
          <w:b/>
          <w:bCs/>
          <w:sz w:val="24"/>
          <w:szCs w:val="24"/>
        </w:rPr>
      </w:pPr>
      <w:hyperlink r:id="rId28" w:history="1">
        <w:r w:rsidR="007424EB" w:rsidRPr="00F30AE2">
          <w:rPr>
            <w:rStyle w:val="Lienhypertexte"/>
            <w:rFonts w:ascii="Century Gothic" w:hAnsi="Century Gothic"/>
            <w:sz w:val="24"/>
            <w:szCs w:val="24"/>
          </w:rPr>
          <w:t>Gestion des matières résidue</w:t>
        </w:r>
        <w:r w:rsidR="007424EB" w:rsidRPr="00F30AE2">
          <w:rPr>
            <w:rStyle w:val="Lienhypertexte"/>
            <w:rFonts w:ascii="Century Gothic" w:hAnsi="Century Gothic"/>
            <w:sz w:val="24"/>
            <w:szCs w:val="24"/>
          </w:rPr>
          <w:t>l</w:t>
        </w:r>
        <w:r w:rsidR="007424EB" w:rsidRPr="00F30AE2">
          <w:rPr>
            <w:rStyle w:val="Lienhypertexte"/>
            <w:rFonts w:ascii="Century Gothic" w:hAnsi="Century Gothic"/>
            <w:sz w:val="24"/>
            <w:szCs w:val="24"/>
          </w:rPr>
          <w:t>les</w:t>
        </w:r>
      </w:hyperlink>
      <w:r w:rsidR="00D3407F">
        <w:rPr>
          <w:rFonts w:ascii="Century Gothic" w:hAnsi="Century Gothic"/>
          <w:sz w:val="24"/>
          <w:szCs w:val="24"/>
        </w:rPr>
        <w:t>;</w:t>
      </w:r>
    </w:p>
    <w:p w14:paraId="0B9A34CA" w14:textId="16EFA67B" w:rsidR="007424EB" w:rsidRPr="003B40CD" w:rsidRDefault="00F30AE2" w:rsidP="007424EB">
      <w:pPr>
        <w:numPr>
          <w:ilvl w:val="0"/>
          <w:numId w:val="8"/>
        </w:numPr>
        <w:shd w:val="clear" w:color="auto" w:fill="FFFFFF"/>
        <w:spacing w:before="100" w:beforeAutospacing="1" w:after="150" w:line="240" w:lineRule="auto"/>
        <w:ind w:left="0"/>
        <w:rPr>
          <w:rFonts w:ascii="Century Gothic" w:hAnsi="Century Gothic"/>
          <w:b/>
          <w:bCs/>
          <w:sz w:val="24"/>
          <w:szCs w:val="24"/>
        </w:rPr>
      </w:pPr>
      <w:hyperlink r:id="rId29" w:history="1">
        <w:r w:rsidR="007424EB" w:rsidRPr="00F30AE2">
          <w:rPr>
            <w:rStyle w:val="Lienhypertexte"/>
            <w:rFonts w:ascii="Century Gothic" w:hAnsi="Century Gothic"/>
            <w:sz w:val="24"/>
            <w:szCs w:val="24"/>
          </w:rPr>
          <w:t>Sécurité ince</w:t>
        </w:r>
        <w:r w:rsidR="007424EB" w:rsidRPr="00F30AE2">
          <w:rPr>
            <w:rStyle w:val="Lienhypertexte"/>
            <w:rFonts w:ascii="Century Gothic" w:hAnsi="Century Gothic"/>
            <w:sz w:val="24"/>
            <w:szCs w:val="24"/>
          </w:rPr>
          <w:t>n</w:t>
        </w:r>
        <w:r w:rsidR="007424EB" w:rsidRPr="00F30AE2">
          <w:rPr>
            <w:rStyle w:val="Lienhypertexte"/>
            <w:rFonts w:ascii="Century Gothic" w:hAnsi="Century Gothic"/>
            <w:sz w:val="24"/>
            <w:szCs w:val="24"/>
          </w:rPr>
          <w:t>die</w:t>
        </w:r>
      </w:hyperlink>
      <w:r w:rsidR="00D3407F">
        <w:rPr>
          <w:rFonts w:ascii="Century Gothic" w:hAnsi="Century Gothic"/>
          <w:sz w:val="24"/>
          <w:szCs w:val="24"/>
        </w:rPr>
        <w:t>.</w:t>
      </w:r>
    </w:p>
    <w:p w14:paraId="35E7F1D7" w14:textId="77777777" w:rsidR="00D16C6C" w:rsidRPr="003B40CD" w:rsidRDefault="00D16C6C" w:rsidP="00D16C6C">
      <w:pPr>
        <w:shd w:val="clear" w:color="auto" w:fill="FFFFFF"/>
        <w:spacing w:before="100" w:beforeAutospacing="1" w:after="150" w:line="240" w:lineRule="auto"/>
        <w:rPr>
          <w:rFonts w:ascii="Century Gothic" w:hAnsi="Century Gothic"/>
          <w:b/>
          <w:bCs/>
          <w:sz w:val="24"/>
          <w:szCs w:val="24"/>
        </w:rPr>
      </w:pPr>
    </w:p>
    <w:p w14:paraId="1E359163" w14:textId="77777777" w:rsidR="007424EB" w:rsidRPr="003B40CD" w:rsidRDefault="00D16C6C" w:rsidP="00D16C6C">
      <w:pPr>
        <w:pStyle w:val="Titre2"/>
        <w:rPr>
          <w:rFonts w:ascii="Century Gothic" w:hAnsi="Century Gothic"/>
          <w:b/>
          <w:color w:val="auto"/>
          <w:sz w:val="24"/>
          <w:szCs w:val="24"/>
        </w:rPr>
      </w:pPr>
      <w:r w:rsidRPr="003B40CD">
        <w:rPr>
          <w:rFonts w:ascii="Century Gothic" w:hAnsi="Century Gothic"/>
          <w:b/>
          <w:color w:val="auto"/>
          <w:sz w:val="24"/>
          <w:szCs w:val="24"/>
        </w:rPr>
        <w:t>Compétences facultative</w:t>
      </w:r>
      <w:r w:rsidR="007424EB" w:rsidRPr="003B40CD">
        <w:rPr>
          <w:rFonts w:ascii="Century Gothic" w:hAnsi="Century Gothic"/>
          <w:b/>
          <w:color w:val="auto"/>
          <w:sz w:val="24"/>
          <w:szCs w:val="24"/>
        </w:rPr>
        <w:t>s</w:t>
      </w:r>
    </w:p>
    <w:p w14:paraId="081732FF" w14:textId="26BAC886" w:rsidR="007424EB" w:rsidRPr="003B40CD" w:rsidRDefault="00F30AE2" w:rsidP="007424EB">
      <w:pPr>
        <w:numPr>
          <w:ilvl w:val="0"/>
          <w:numId w:val="9"/>
        </w:numPr>
        <w:shd w:val="clear" w:color="auto" w:fill="FFFFFF"/>
        <w:spacing w:before="100" w:beforeAutospacing="1" w:after="150" w:line="240" w:lineRule="auto"/>
        <w:ind w:left="0"/>
        <w:rPr>
          <w:rFonts w:ascii="Century Gothic" w:hAnsi="Century Gothic"/>
          <w:b/>
          <w:bCs/>
          <w:sz w:val="24"/>
          <w:szCs w:val="24"/>
        </w:rPr>
      </w:pPr>
      <w:hyperlink r:id="rId30" w:history="1">
        <w:r w:rsidR="007424EB" w:rsidRPr="00F30AE2">
          <w:rPr>
            <w:rStyle w:val="Lienhypertexte"/>
            <w:rFonts w:ascii="Century Gothic" w:hAnsi="Century Gothic"/>
            <w:sz w:val="24"/>
            <w:szCs w:val="24"/>
          </w:rPr>
          <w:t>Plan de développement du terri</w:t>
        </w:r>
        <w:r w:rsidR="007424EB" w:rsidRPr="00F30AE2">
          <w:rPr>
            <w:rStyle w:val="Lienhypertexte"/>
            <w:rFonts w:ascii="Century Gothic" w:hAnsi="Century Gothic"/>
            <w:sz w:val="24"/>
            <w:szCs w:val="24"/>
          </w:rPr>
          <w:t>t</w:t>
        </w:r>
        <w:r w:rsidR="007424EB" w:rsidRPr="00F30AE2">
          <w:rPr>
            <w:rStyle w:val="Lienhypertexte"/>
            <w:rFonts w:ascii="Century Gothic" w:hAnsi="Century Gothic"/>
            <w:sz w:val="24"/>
            <w:szCs w:val="24"/>
          </w:rPr>
          <w:t>oire</w:t>
        </w:r>
      </w:hyperlink>
      <w:r w:rsidR="00D3407F">
        <w:rPr>
          <w:rFonts w:ascii="Century Gothic" w:hAnsi="Century Gothic"/>
          <w:sz w:val="24"/>
          <w:szCs w:val="24"/>
        </w:rPr>
        <w:t>;</w:t>
      </w:r>
    </w:p>
    <w:p w14:paraId="7D0C24AB" w14:textId="7D497289" w:rsidR="007424EB" w:rsidRPr="003B40CD" w:rsidRDefault="00F30AE2" w:rsidP="007424EB">
      <w:pPr>
        <w:numPr>
          <w:ilvl w:val="0"/>
          <w:numId w:val="9"/>
        </w:numPr>
        <w:shd w:val="clear" w:color="auto" w:fill="FFFFFF"/>
        <w:spacing w:before="100" w:beforeAutospacing="1" w:after="150" w:line="240" w:lineRule="auto"/>
        <w:ind w:left="0"/>
        <w:rPr>
          <w:rFonts w:ascii="Century Gothic" w:hAnsi="Century Gothic"/>
          <w:b/>
          <w:bCs/>
          <w:sz w:val="24"/>
          <w:szCs w:val="24"/>
        </w:rPr>
      </w:pPr>
      <w:hyperlink r:id="rId31" w:history="1">
        <w:r w:rsidR="007424EB" w:rsidRPr="00F30AE2">
          <w:rPr>
            <w:rStyle w:val="Lienhypertexte"/>
            <w:rFonts w:ascii="Century Gothic" w:hAnsi="Century Gothic"/>
            <w:sz w:val="24"/>
            <w:szCs w:val="24"/>
          </w:rPr>
          <w:t>Soutien au développement local et ré</w:t>
        </w:r>
        <w:r w:rsidR="007424EB" w:rsidRPr="00F30AE2">
          <w:rPr>
            <w:rStyle w:val="Lienhypertexte"/>
            <w:rFonts w:ascii="Century Gothic" w:hAnsi="Century Gothic"/>
            <w:sz w:val="24"/>
            <w:szCs w:val="24"/>
          </w:rPr>
          <w:t>g</w:t>
        </w:r>
        <w:r w:rsidR="007424EB" w:rsidRPr="00F30AE2">
          <w:rPr>
            <w:rStyle w:val="Lienhypertexte"/>
            <w:rFonts w:ascii="Century Gothic" w:hAnsi="Century Gothic"/>
            <w:sz w:val="24"/>
            <w:szCs w:val="24"/>
          </w:rPr>
          <w:t>ional</w:t>
        </w:r>
      </w:hyperlink>
      <w:r w:rsidR="00D3407F" w:rsidRPr="00D3407F">
        <w:rPr>
          <w:rFonts w:ascii="Century Gothic" w:hAnsi="Century Gothic"/>
          <w:bCs/>
          <w:sz w:val="24"/>
          <w:szCs w:val="24"/>
        </w:rPr>
        <w:t>;</w:t>
      </w:r>
    </w:p>
    <w:p w14:paraId="55E7B1A0" w14:textId="3F425CC0" w:rsidR="007424EB" w:rsidRPr="003B40CD" w:rsidRDefault="00F30AE2" w:rsidP="007424EB">
      <w:pPr>
        <w:numPr>
          <w:ilvl w:val="0"/>
          <w:numId w:val="9"/>
        </w:numPr>
        <w:shd w:val="clear" w:color="auto" w:fill="FFFFFF"/>
        <w:spacing w:before="100" w:beforeAutospacing="1" w:after="150" w:line="240" w:lineRule="auto"/>
        <w:ind w:left="0"/>
        <w:rPr>
          <w:rFonts w:ascii="Century Gothic" w:hAnsi="Century Gothic"/>
          <w:b/>
          <w:bCs/>
          <w:sz w:val="24"/>
          <w:szCs w:val="24"/>
        </w:rPr>
      </w:pPr>
      <w:hyperlink r:id="rId32" w:history="1">
        <w:r w:rsidR="007424EB" w:rsidRPr="00F30AE2">
          <w:rPr>
            <w:rStyle w:val="Lienhypertexte"/>
            <w:rFonts w:ascii="Century Gothic" w:hAnsi="Century Gothic"/>
            <w:sz w:val="24"/>
            <w:szCs w:val="24"/>
          </w:rPr>
          <w:t>Transport collectif et ada</w:t>
        </w:r>
        <w:r w:rsidR="007424EB" w:rsidRPr="00F30AE2">
          <w:rPr>
            <w:rStyle w:val="Lienhypertexte"/>
            <w:rFonts w:ascii="Century Gothic" w:hAnsi="Century Gothic"/>
            <w:sz w:val="24"/>
            <w:szCs w:val="24"/>
          </w:rPr>
          <w:t>p</w:t>
        </w:r>
        <w:r w:rsidR="007424EB" w:rsidRPr="00F30AE2">
          <w:rPr>
            <w:rStyle w:val="Lienhypertexte"/>
            <w:rFonts w:ascii="Century Gothic" w:hAnsi="Century Gothic"/>
            <w:sz w:val="24"/>
            <w:szCs w:val="24"/>
          </w:rPr>
          <w:t>té</w:t>
        </w:r>
      </w:hyperlink>
      <w:r w:rsidR="00D3407F">
        <w:rPr>
          <w:rFonts w:ascii="Century Gothic" w:hAnsi="Century Gothic"/>
          <w:sz w:val="24"/>
          <w:szCs w:val="24"/>
        </w:rPr>
        <w:t>;</w:t>
      </w:r>
      <w:r w:rsidR="007424EB" w:rsidRPr="003B40CD">
        <w:rPr>
          <w:rFonts w:ascii="Century Gothic" w:hAnsi="Century Gothic"/>
          <w:b/>
          <w:bCs/>
          <w:sz w:val="24"/>
          <w:szCs w:val="24"/>
        </w:rPr>
        <w:t> </w:t>
      </w:r>
    </w:p>
    <w:p w14:paraId="34962A8E" w14:textId="15C09FE9" w:rsidR="007424EB" w:rsidRPr="003B40CD" w:rsidRDefault="00F30AE2" w:rsidP="007424EB">
      <w:pPr>
        <w:numPr>
          <w:ilvl w:val="0"/>
          <w:numId w:val="9"/>
        </w:numPr>
        <w:shd w:val="clear" w:color="auto" w:fill="FFFFFF"/>
        <w:spacing w:before="100" w:beforeAutospacing="1" w:after="150" w:line="240" w:lineRule="auto"/>
        <w:ind w:left="0"/>
        <w:rPr>
          <w:rFonts w:ascii="Century Gothic" w:hAnsi="Century Gothic"/>
          <w:b/>
          <w:bCs/>
          <w:sz w:val="24"/>
          <w:szCs w:val="24"/>
        </w:rPr>
      </w:pPr>
      <w:hyperlink r:id="rId33" w:history="1">
        <w:r w:rsidR="007424EB" w:rsidRPr="00F30AE2">
          <w:rPr>
            <w:rStyle w:val="Lienhypertexte"/>
            <w:rFonts w:ascii="Century Gothic" w:hAnsi="Century Gothic"/>
            <w:sz w:val="24"/>
            <w:szCs w:val="24"/>
          </w:rPr>
          <w:t>Gestion des baux de villégiature, d</w:t>
        </w:r>
        <w:r w:rsidR="007424EB" w:rsidRPr="00F30AE2">
          <w:rPr>
            <w:rStyle w:val="Lienhypertexte"/>
            <w:rFonts w:ascii="Century Gothic" w:hAnsi="Century Gothic"/>
            <w:sz w:val="24"/>
            <w:szCs w:val="24"/>
          </w:rPr>
          <w:t>e</w:t>
        </w:r>
        <w:r w:rsidR="007424EB" w:rsidRPr="00F30AE2">
          <w:rPr>
            <w:rStyle w:val="Lienhypertexte"/>
            <w:rFonts w:ascii="Century Gothic" w:hAnsi="Century Gothic"/>
            <w:sz w:val="24"/>
            <w:szCs w:val="24"/>
          </w:rPr>
          <w:t>s sablières et carrières</w:t>
        </w:r>
      </w:hyperlink>
      <w:r w:rsidR="00D3407F">
        <w:rPr>
          <w:rFonts w:ascii="Century Gothic" w:hAnsi="Century Gothic"/>
          <w:sz w:val="24"/>
          <w:szCs w:val="24"/>
        </w:rPr>
        <w:t>;</w:t>
      </w:r>
      <w:r w:rsidR="007424EB" w:rsidRPr="003B40CD">
        <w:rPr>
          <w:rFonts w:ascii="Century Gothic" w:hAnsi="Century Gothic"/>
          <w:b/>
          <w:bCs/>
          <w:sz w:val="24"/>
          <w:szCs w:val="24"/>
        </w:rPr>
        <w:t> </w:t>
      </w:r>
    </w:p>
    <w:p w14:paraId="7FEB64D8" w14:textId="73BEADF4" w:rsidR="007424EB" w:rsidRPr="003B40CD" w:rsidRDefault="00F30AE2" w:rsidP="007424EB">
      <w:pPr>
        <w:numPr>
          <w:ilvl w:val="0"/>
          <w:numId w:val="9"/>
        </w:numPr>
        <w:shd w:val="clear" w:color="auto" w:fill="FFFFFF"/>
        <w:spacing w:before="100" w:beforeAutospacing="1" w:after="150" w:line="240" w:lineRule="auto"/>
        <w:ind w:left="0"/>
        <w:rPr>
          <w:rFonts w:ascii="Century Gothic" w:hAnsi="Century Gothic"/>
          <w:b/>
          <w:bCs/>
          <w:sz w:val="24"/>
          <w:szCs w:val="24"/>
        </w:rPr>
      </w:pPr>
      <w:hyperlink r:id="rId34" w:history="1">
        <w:r w:rsidR="007424EB" w:rsidRPr="00F30AE2">
          <w:rPr>
            <w:rStyle w:val="Lienhypertexte"/>
            <w:rFonts w:ascii="Century Gothic" w:hAnsi="Century Gothic"/>
            <w:sz w:val="24"/>
            <w:szCs w:val="24"/>
          </w:rPr>
          <w:t>Administration de programmes de la So</w:t>
        </w:r>
        <w:r w:rsidR="007424EB" w:rsidRPr="00F30AE2">
          <w:rPr>
            <w:rStyle w:val="Lienhypertexte"/>
            <w:rFonts w:ascii="Century Gothic" w:hAnsi="Century Gothic"/>
            <w:sz w:val="24"/>
            <w:szCs w:val="24"/>
          </w:rPr>
          <w:t>c</w:t>
        </w:r>
        <w:r w:rsidR="007424EB" w:rsidRPr="00F30AE2">
          <w:rPr>
            <w:rStyle w:val="Lienhypertexte"/>
            <w:rFonts w:ascii="Century Gothic" w:hAnsi="Century Gothic"/>
            <w:sz w:val="24"/>
            <w:szCs w:val="24"/>
          </w:rPr>
          <w:t>iété d’habitation du Québec</w:t>
        </w:r>
      </w:hyperlink>
      <w:r w:rsidR="00D3407F">
        <w:rPr>
          <w:rFonts w:ascii="Century Gothic" w:hAnsi="Century Gothic"/>
          <w:sz w:val="24"/>
          <w:szCs w:val="24"/>
        </w:rPr>
        <w:t>;</w:t>
      </w:r>
      <w:r w:rsidR="007424EB" w:rsidRPr="003B40CD">
        <w:rPr>
          <w:rFonts w:ascii="Century Gothic" w:hAnsi="Century Gothic"/>
          <w:b/>
          <w:bCs/>
          <w:sz w:val="24"/>
          <w:szCs w:val="24"/>
        </w:rPr>
        <w:t> </w:t>
      </w:r>
    </w:p>
    <w:p w14:paraId="0488BBD1" w14:textId="49FD8235" w:rsidR="007424EB" w:rsidRPr="003B40CD" w:rsidRDefault="00F30AE2" w:rsidP="007424EB">
      <w:pPr>
        <w:numPr>
          <w:ilvl w:val="0"/>
          <w:numId w:val="9"/>
        </w:numPr>
        <w:shd w:val="clear" w:color="auto" w:fill="FFFFFF"/>
        <w:spacing w:before="100" w:beforeAutospacing="1" w:after="150" w:line="240" w:lineRule="auto"/>
        <w:ind w:left="0"/>
        <w:rPr>
          <w:rFonts w:ascii="Century Gothic" w:hAnsi="Century Gothic"/>
          <w:b/>
          <w:bCs/>
          <w:sz w:val="24"/>
          <w:szCs w:val="24"/>
        </w:rPr>
      </w:pPr>
      <w:hyperlink r:id="rId35" w:history="1">
        <w:r w:rsidR="007424EB" w:rsidRPr="00F30AE2">
          <w:rPr>
            <w:rStyle w:val="Lienhypertexte"/>
            <w:rFonts w:ascii="Century Gothic" w:hAnsi="Century Gothic"/>
            <w:sz w:val="24"/>
            <w:szCs w:val="24"/>
          </w:rPr>
          <w:t>Gestion des parcs région</w:t>
        </w:r>
        <w:r w:rsidR="007424EB" w:rsidRPr="00F30AE2">
          <w:rPr>
            <w:rStyle w:val="Lienhypertexte"/>
            <w:rFonts w:ascii="Century Gothic" w:hAnsi="Century Gothic"/>
            <w:sz w:val="24"/>
            <w:szCs w:val="24"/>
          </w:rPr>
          <w:t>a</w:t>
        </w:r>
        <w:r w:rsidR="007424EB" w:rsidRPr="00F30AE2">
          <w:rPr>
            <w:rStyle w:val="Lienhypertexte"/>
            <w:rFonts w:ascii="Century Gothic" w:hAnsi="Century Gothic"/>
            <w:sz w:val="24"/>
            <w:szCs w:val="24"/>
          </w:rPr>
          <w:t>ux</w:t>
        </w:r>
      </w:hyperlink>
      <w:r w:rsidR="00D3407F">
        <w:rPr>
          <w:rFonts w:ascii="Century Gothic" w:hAnsi="Century Gothic"/>
          <w:sz w:val="24"/>
          <w:szCs w:val="24"/>
        </w:rPr>
        <w:t>;</w:t>
      </w:r>
      <w:r w:rsidR="007424EB" w:rsidRPr="003B40CD">
        <w:rPr>
          <w:rFonts w:ascii="Century Gothic" w:hAnsi="Century Gothic"/>
          <w:b/>
          <w:bCs/>
          <w:sz w:val="24"/>
          <w:szCs w:val="24"/>
        </w:rPr>
        <w:t> </w:t>
      </w:r>
    </w:p>
    <w:p w14:paraId="0C99F275" w14:textId="17A3ECAE" w:rsidR="002D75BD" w:rsidRPr="003B40CD" w:rsidRDefault="00F30AE2" w:rsidP="00D16C6C">
      <w:pPr>
        <w:numPr>
          <w:ilvl w:val="0"/>
          <w:numId w:val="9"/>
        </w:numPr>
        <w:shd w:val="clear" w:color="auto" w:fill="FFFFFF"/>
        <w:spacing w:before="100" w:beforeAutospacing="1" w:after="150" w:line="240" w:lineRule="auto"/>
        <w:ind w:left="0"/>
        <w:rPr>
          <w:rFonts w:ascii="Century Gothic" w:hAnsi="Century Gothic"/>
          <w:b/>
          <w:bCs/>
          <w:sz w:val="24"/>
          <w:szCs w:val="24"/>
        </w:rPr>
      </w:pPr>
      <w:hyperlink r:id="rId36" w:history="1">
        <w:r w:rsidR="007424EB" w:rsidRPr="00F30AE2">
          <w:rPr>
            <w:rStyle w:val="Lienhypertexte"/>
            <w:rFonts w:ascii="Century Gothic" w:hAnsi="Century Gothic"/>
            <w:sz w:val="24"/>
            <w:szCs w:val="24"/>
          </w:rPr>
          <w:t>Sécurité publi</w:t>
        </w:r>
        <w:r w:rsidR="007424EB" w:rsidRPr="00F30AE2">
          <w:rPr>
            <w:rStyle w:val="Lienhypertexte"/>
            <w:rFonts w:ascii="Century Gothic" w:hAnsi="Century Gothic"/>
            <w:sz w:val="24"/>
            <w:szCs w:val="24"/>
          </w:rPr>
          <w:t>q</w:t>
        </w:r>
        <w:r w:rsidR="007424EB" w:rsidRPr="00F30AE2">
          <w:rPr>
            <w:rStyle w:val="Lienhypertexte"/>
            <w:rFonts w:ascii="Century Gothic" w:hAnsi="Century Gothic"/>
            <w:sz w:val="24"/>
            <w:szCs w:val="24"/>
          </w:rPr>
          <w:t>ue</w:t>
        </w:r>
      </w:hyperlink>
      <w:r w:rsidR="00D3407F">
        <w:rPr>
          <w:rFonts w:ascii="Century Gothic" w:hAnsi="Century Gothic"/>
          <w:sz w:val="24"/>
          <w:szCs w:val="24"/>
        </w:rPr>
        <w:t>.</w:t>
      </w:r>
    </w:p>
    <w:p w14:paraId="08F72875" w14:textId="77777777" w:rsidR="00805572" w:rsidRPr="003B40CD" w:rsidRDefault="00805572" w:rsidP="00805572">
      <w:pPr>
        <w:shd w:val="clear" w:color="auto" w:fill="FFFFFF"/>
        <w:spacing w:before="100" w:beforeAutospacing="1" w:after="150" w:line="240" w:lineRule="auto"/>
        <w:rPr>
          <w:rFonts w:ascii="Century Gothic" w:hAnsi="Century Gothic"/>
          <w:b/>
          <w:bCs/>
          <w:sz w:val="24"/>
          <w:szCs w:val="24"/>
        </w:rPr>
      </w:pPr>
    </w:p>
    <w:p w14:paraId="0CD7BB97" w14:textId="77777777" w:rsidR="000B2A9C" w:rsidRPr="003B40CD" w:rsidRDefault="000B2A9C" w:rsidP="0033569D">
      <w:pPr>
        <w:tabs>
          <w:tab w:val="left" w:leader="dot" w:pos="1440"/>
          <w:tab w:val="right" w:leader="dot" w:pos="9360"/>
        </w:tabs>
        <w:jc w:val="both"/>
        <w:rPr>
          <w:rFonts w:ascii="Century Gothic" w:hAnsi="Century Gothic"/>
          <w:sz w:val="24"/>
          <w:szCs w:val="24"/>
        </w:rPr>
      </w:pPr>
    </w:p>
    <w:sectPr w:rsidR="000B2A9C" w:rsidRPr="003B40CD" w:rsidSect="007E6022">
      <w:headerReference w:type="default" r:id="rId37"/>
      <w:pgSz w:w="12240" w:h="15840"/>
      <w:pgMar w:top="170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572DB" w14:textId="77777777" w:rsidR="002D75BD" w:rsidRDefault="002D75BD" w:rsidP="002D75BD">
      <w:pPr>
        <w:spacing w:after="0" w:line="240" w:lineRule="auto"/>
      </w:pPr>
      <w:r>
        <w:separator/>
      </w:r>
    </w:p>
  </w:endnote>
  <w:endnote w:type="continuationSeparator" w:id="0">
    <w:p w14:paraId="5A342B0B" w14:textId="77777777" w:rsidR="002D75BD" w:rsidRDefault="002D75BD" w:rsidP="002D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45457" w14:textId="77777777" w:rsidR="002D75BD" w:rsidRDefault="002D75BD" w:rsidP="002D75BD">
      <w:pPr>
        <w:spacing w:after="0" w:line="240" w:lineRule="auto"/>
      </w:pPr>
      <w:r>
        <w:separator/>
      </w:r>
    </w:p>
  </w:footnote>
  <w:footnote w:type="continuationSeparator" w:id="0">
    <w:p w14:paraId="01FE10CC" w14:textId="77777777" w:rsidR="002D75BD" w:rsidRDefault="002D75BD" w:rsidP="002D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A94A" w14:textId="77777777" w:rsidR="0007370D" w:rsidRPr="002F7323" w:rsidRDefault="0007370D" w:rsidP="0007370D">
    <w:pPr>
      <w:rPr>
        <w:rFonts w:ascii="Century Gothic" w:hAnsi="Century Gothic"/>
        <w:b/>
        <w:bCs/>
        <w:smallCaps/>
        <w:color w:val="595959" w:themeColor="text1" w:themeTint="A6"/>
        <w:sz w:val="24"/>
        <w:szCs w:val="24"/>
      </w:rPr>
    </w:pPr>
    <w:r w:rsidRPr="002D75BD">
      <w:rPr>
        <w:rFonts w:ascii="Century Gothic" w:hAnsi="Century Gothic"/>
        <w:b/>
        <w:smallCaps/>
        <w:noProof/>
        <w:color w:val="595959" w:themeColor="text1" w:themeTint="A6"/>
      </w:rPr>
      <w:drawing>
        <wp:anchor distT="0" distB="0" distL="114300" distR="114300" simplePos="0" relativeHeight="251659264" behindDoc="0" locked="0" layoutInCell="1" allowOverlap="1" wp14:anchorId="1DFE6454" wp14:editId="435BA7BB">
          <wp:simplePos x="0" y="0"/>
          <wp:positionH relativeFrom="column">
            <wp:posOffset>4435779</wp:posOffset>
          </wp:positionH>
          <wp:positionV relativeFrom="paragraph">
            <wp:posOffset>-6985</wp:posOffset>
          </wp:positionV>
          <wp:extent cx="1111885" cy="23558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RC-01.jpg"/>
                  <pic:cNvPicPr/>
                </pic:nvPicPr>
                <pic:blipFill>
                  <a:blip r:embed="rId1">
                    <a:extLst>
                      <a:ext uri="{28A0092B-C50C-407E-A947-70E740481C1C}">
                        <a14:useLocalDpi xmlns:a14="http://schemas.microsoft.com/office/drawing/2010/main" val="0"/>
                      </a:ext>
                    </a:extLst>
                  </a:blip>
                  <a:stretch>
                    <a:fillRect/>
                  </a:stretch>
                </pic:blipFill>
                <pic:spPr>
                  <a:xfrm>
                    <a:off x="0" y="0"/>
                    <a:ext cx="1111885" cy="235585"/>
                  </a:xfrm>
                  <a:prstGeom prst="rect">
                    <a:avLst/>
                  </a:prstGeom>
                </pic:spPr>
              </pic:pic>
            </a:graphicData>
          </a:graphic>
          <wp14:sizeRelH relativeFrom="page">
            <wp14:pctWidth>0</wp14:pctWidth>
          </wp14:sizeRelH>
          <wp14:sizeRelV relativeFrom="page">
            <wp14:pctHeight>0</wp14:pctHeight>
          </wp14:sizeRelV>
        </wp:anchor>
      </w:drawing>
    </w:r>
    <w:r w:rsidRPr="007B1FC9">
      <w:rPr>
        <w:rFonts w:ascii="Century Gothic" w:hAnsi="Century Gothic"/>
        <w:b/>
        <w:bCs/>
        <w:smallCaps/>
        <w:color w:val="595959" w:themeColor="text1" w:themeTint="A6"/>
        <w:sz w:val="24"/>
        <w:szCs w:val="24"/>
      </w:rPr>
      <w:t>FONCTIONNEMENT ET RESPONSABILITÉS</w:t>
    </w:r>
    <w:r>
      <w:rPr>
        <w:rFonts w:ascii="Century Gothic" w:hAnsi="Century Gothic"/>
        <w:b/>
        <w:bCs/>
        <w:smallCaps/>
        <w:color w:val="595959" w:themeColor="text1" w:themeTint="A6"/>
        <w:sz w:val="24"/>
        <w:szCs w:val="24"/>
      </w:rPr>
      <w:t xml:space="preserve">                   </w:t>
    </w:r>
    <w:r>
      <w:rPr>
        <w:rFonts w:ascii="Century Gothic" w:hAnsi="Century Gothic"/>
        <w:b/>
        <w:smallCaps/>
        <w:color w:val="595959" w:themeColor="text1" w:themeTint="A6"/>
      </w:rPr>
      <w:t>c</w:t>
    </w:r>
    <w:r w:rsidRPr="002D75BD">
      <w:rPr>
        <w:rFonts w:ascii="Century Gothic" w:hAnsi="Century Gothic"/>
        <w:b/>
        <w:smallCaps/>
        <w:color w:val="595959" w:themeColor="text1" w:themeTint="A6"/>
      </w:rPr>
      <w:t xml:space="preserve">ahier des élus </w:t>
    </w:r>
    <w:r>
      <w:rPr>
        <w:rFonts w:ascii="Century Gothic" w:hAnsi="Century Gothic"/>
        <w:b/>
        <w:smallCaps/>
        <w:color w:val="595959" w:themeColor="text1" w:themeTint="A6"/>
      </w:rPr>
      <w:t>|</w:t>
    </w:r>
  </w:p>
  <w:p w14:paraId="3B252ACA" w14:textId="77777777" w:rsidR="002D75BD" w:rsidRPr="0007370D" w:rsidRDefault="002D75BD" w:rsidP="000737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3AEE3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6B12703"/>
    <w:multiLevelType w:val="multilevel"/>
    <w:tmpl w:val="8A9AC36A"/>
    <w:lvl w:ilvl="0">
      <w:start w:val="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B73F8D"/>
    <w:multiLevelType w:val="multilevel"/>
    <w:tmpl w:val="4C1AE0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22AE282B"/>
    <w:multiLevelType w:val="multilevel"/>
    <w:tmpl w:val="A24E0EEE"/>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88668C3"/>
    <w:multiLevelType w:val="multilevel"/>
    <w:tmpl w:val="9DFA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D16B1"/>
    <w:multiLevelType w:val="hybridMultilevel"/>
    <w:tmpl w:val="0452018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FE34905"/>
    <w:multiLevelType w:val="multilevel"/>
    <w:tmpl w:val="726AC214"/>
    <w:lvl w:ilvl="0">
      <w:start w:val="1"/>
      <w:numFmt w:val="none"/>
      <w:lvlText w:val="3."/>
      <w:lvlJc w:val="left"/>
      <w:pPr>
        <w:tabs>
          <w:tab w:val="num" w:pos="360"/>
        </w:tabs>
        <w:ind w:left="360" w:hanging="360"/>
      </w:pPr>
      <w:rPr>
        <w:rFonts w:hint="default"/>
      </w:rPr>
    </w:lvl>
    <w:lvl w:ilvl="1">
      <w:start w:val="1"/>
      <w:numFmt w:val="none"/>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4107AA2"/>
    <w:multiLevelType w:val="hybridMultilevel"/>
    <w:tmpl w:val="E1203E3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11348D0"/>
    <w:multiLevelType w:val="multilevel"/>
    <w:tmpl w:val="3F88ADC8"/>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541F7E72"/>
    <w:multiLevelType w:val="multilevel"/>
    <w:tmpl w:val="5C28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851D0"/>
    <w:multiLevelType w:val="multilevel"/>
    <w:tmpl w:val="806AE13A"/>
    <w:lvl w:ilvl="0">
      <w:start w:val="1"/>
      <w:numFmt w:val="none"/>
      <w:lvlText w:val="3."/>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9D42627"/>
    <w:multiLevelType w:val="hybridMultilevel"/>
    <w:tmpl w:val="38440320"/>
    <w:lvl w:ilvl="0" w:tplc="20801864">
      <w:start w:val="2"/>
      <w:numFmt w:val="bullet"/>
      <w:lvlText w:val="-"/>
      <w:lvlJc w:val="left"/>
      <w:pPr>
        <w:tabs>
          <w:tab w:val="num" w:pos="720"/>
        </w:tabs>
        <w:ind w:left="720" w:hanging="360"/>
      </w:pPr>
      <w:rPr>
        <w:rFonts w:ascii="Times New Roman" w:eastAsia="Times New Roman" w:hAnsi="Times New Roman" w:cs="Times New Roman" w:hint="default"/>
      </w:rPr>
    </w:lvl>
    <w:lvl w:ilvl="1" w:tplc="51885E3A">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E1A28"/>
    <w:multiLevelType w:val="multilevel"/>
    <w:tmpl w:val="4E4AE792"/>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6DAB0F42"/>
    <w:multiLevelType w:val="multilevel"/>
    <w:tmpl w:val="2942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B0258"/>
    <w:multiLevelType w:val="hybridMultilevel"/>
    <w:tmpl w:val="15A0E94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FB46FD4"/>
    <w:multiLevelType w:val="multilevel"/>
    <w:tmpl w:val="7B5291FA"/>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5"/>
  </w:num>
  <w:num w:numId="3">
    <w:abstractNumId w:val="6"/>
  </w:num>
  <w:num w:numId="4">
    <w:abstractNumId w:val="10"/>
  </w:num>
  <w:num w:numId="5">
    <w:abstractNumId w:val="1"/>
  </w:num>
  <w:num w:numId="6">
    <w:abstractNumId w:val="5"/>
  </w:num>
  <w:num w:numId="7">
    <w:abstractNumId w:val="11"/>
  </w:num>
  <w:num w:numId="8">
    <w:abstractNumId w:val="13"/>
  </w:num>
  <w:num w:numId="9">
    <w:abstractNumId w:val="9"/>
  </w:num>
  <w:num w:numId="10">
    <w:abstractNumId w:val="12"/>
  </w:num>
  <w:num w:numId="11">
    <w:abstractNumId w:val="4"/>
  </w:num>
  <w:num w:numId="12">
    <w:abstractNumId w:val="8"/>
  </w:num>
  <w:num w:numId="13">
    <w:abstractNumId w:val="0"/>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BD"/>
    <w:rsid w:val="00013758"/>
    <w:rsid w:val="0007370D"/>
    <w:rsid w:val="000B2A9C"/>
    <w:rsid w:val="001C6BB2"/>
    <w:rsid w:val="001D3845"/>
    <w:rsid w:val="00246F6F"/>
    <w:rsid w:val="002D75BD"/>
    <w:rsid w:val="0033569D"/>
    <w:rsid w:val="003B40CD"/>
    <w:rsid w:val="003E5041"/>
    <w:rsid w:val="00411090"/>
    <w:rsid w:val="00567527"/>
    <w:rsid w:val="0058611A"/>
    <w:rsid w:val="006B13DA"/>
    <w:rsid w:val="006E6054"/>
    <w:rsid w:val="007120DE"/>
    <w:rsid w:val="007424EB"/>
    <w:rsid w:val="00747D09"/>
    <w:rsid w:val="007B1FC9"/>
    <w:rsid w:val="007E6022"/>
    <w:rsid w:val="00805572"/>
    <w:rsid w:val="00843E7C"/>
    <w:rsid w:val="00902825"/>
    <w:rsid w:val="009A0FD7"/>
    <w:rsid w:val="00B644AC"/>
    <w:rsid w:val="00B85DD8"/>
    <w:rsid w:val="00D16C6C"/>
    <w:rsid w:val="00D3407F"/>
    <w:rsid w:val="00D752D0"/>
    <w:rsid w:val="00DC3F4A"/>
    <w:rsid w:val="00F30A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BE517"/>
  <w15:chartTrackingRefBased/>
  <w15:docId w15:val="{EE0AC355-F817-4561-917A-1581A419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1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424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75BD"/>
    <w:pPr>
      <w:spacing w:after="0" w:line="240" w:lineRule="auto"/>
      <w:ind w:left="720"/>
      <w:contextualSpacing/>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2D75BD"/>
    <w:pPr>
      <w:tabs>
        <w:tab w:val="center" w:pos="4320"/>
        <w:tab w:val="right" w:pos="8640"/>
      </w:tabs>
      <w:spacing w:after="0" w:line="240" w:lineRule="auto"/>
    </w:pPr>
  </w:style>
  <w:style w:type="character" w:customStyle="1" w:styleId="En-tteCar">
    <w:name w:val="En-tête Car"/>
    <w:basedOn w:val="Policepardfaut"/>
    <w:link w:val="En-tte"/>
    <w:uiPriority w:val="99"/>
    <w:rsid w:val="002D75BD"/>
  </w:style>
  <w:style w:type="paragraph" w:styleId="Pieddepage">
    <w:name w:val="footer"/>
    <w:basedOn w:val="Normal"/>
    <w:link w:val="PieddepageCar"/>
    <w:uiPriority w:val="99"/>
    <w:unhideWhenUsed/>
    <w:rsid w:val="002D75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D75BD"/>
  </w:style>
  <w:style w:type="character" w:customStyle="1" w:styleId="Titre1Car">
    <w:name w:val="Titre 1 Car"/>
    <w:basedOn w:val="Policepardfaut"/>
    <w:link w:val="Titre1"/>
    <w:uiPriority w:val="9"/>
    <w:rsid w:val="007B1FC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B85DD8"/>
    <w:rPr>
      <w:color w:val="0563C1" w:themeColor="hyperlink"/>
      <w:u w:val="single"/>
    </w:rPr>
  </w:style>
  <w:style w:type="character" w:styleId="Mentionnonrsolue">
    <w:name w:val="Unresolved Mention"/>
    <w:basedOn w:val="Policepardfaut"/>
    <w:uiPriority w:val="99"/>
    <w:semiHidden/>
    <w:unhideWhenUsed/>
    <w:rsid w:val="00B85DD8"/>
    <w:rPr>
      <w:color w:val="808080"/>
      <w:shd w:val="clear" w:color="auto" w:fill="E6E6E6"/>
    </w:rPr>
  </w:style>
  <w:style w:type="character" w:styleId="Lienhypertextesuivivisit">
    <w:name w:val="FollowedHyperlink"/>
    <w:basedOn w:val="Policepardfaut"/>
    <w:uiPriority w:val="99"/>
    <w:semiHidden/>
    <w:unhideWhenUsed/>
    <w:rsid w:val="00B85DD8"/>
    <w:rPr>
      <w:color w:val="954F72" w:themeColor="followedHyperlink"/>
      <w:u w:val="single"/>
    </w:rPr>
  </w:style>
  <w:style w:type="character" w:customStyle="1" w:styleId="Titre2Car">
    <w:name w:val="Titre 2 Car"/>
    <w:basedOn w:val="Policepardfaut"/>
    <w:link w:val="Titre2"/>
    <w:uiPriority w:val="9"/>
    <w:rsid w:val="007424E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3569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33569D"/>
  </w:style>
  <w:style w:type="character" w:styleId="lev">
    <w:name w:val="Strong"/>
    <w:basedOn w:val="Policepardfaut"/>
    <w:uiPriority w:val="22"/>
    <w:qFormat/>
    <w:rsid w:val="0033569D"/>
    <w:rPr>
      <w:b/>
      <w:bCs/>
    </w:rPr>
  </w:style>
  <w:style w:type="paragraph" w:styleId="Listepuces">
    <w:name w:val="List Bullet"/>
    <w:basedOn w:val="Normal"/>
    <w:autoRedefine/>
    <w:rsid w:val="00D752D0"/>
    <w:pPr>
      <w:numPr>
        <w:numId w:val="13"/>
      </w:numPr>
      <w:spacing w:after="0" w:line="240" w:lineRule="auto"/>
    </w:pPr>
    <w:rPr>
      <w:rFonts w:ascii="Times New Roman" w:eastAsia="Times New Roman" w:hAnsi="Times New Roman" w:cs="Times New Roman"/>
      <w:sz w:val="24"/>
      <w:szCs w:val="24"/>
      <w:lang w:val="fr-FR" w:eastAsia="fr-FR"/>
    </w:rPr>
  </w:style>
  <w:style w:type="paragraph" w:customStyle="1" w:styleId="stlactivites">
    <w:name w:val="stlactivites"/>
    <w:basedOn w:val="Normal"/>
    <w:rsid w:val="001D3845"/>
    <w:pPr>
      <w:spacing w:before="100" w:beforeAutospacing="1" w:after="100" w:afterAutospacing="1" w:line="240" w:lineRule="auto"/>
    </w:pPr>
    <w:rPr>
      <w:rFonts w:ascii="Arial" w:eastAsia="Times New Roman" w:hAnsi="Arial" w:cs="Arial"/>
      <w:color w:val="000000"/>
      <w:sz w:val="18"/>
      <w:szCs w:val="18"/>
      <w:lang w:eastAsia="fr-CA"/>
    </w:rPr>
  </w:style>
  <w:style w:type="paragraph" w:styleId="Corpsdetexte2">
    <w:name w:val="Body Text 2"/>
    <w:basedOn w:val="Normal"/>
    <w:link w:val="Corpsdetexte2Car"/>
    <w:rsid w:val="00567527"/>
    <w:pPr>
      <w:spacing w:after="120" w:line="480" w:lineRule="auto"/>
    </w:pPr>
    <w:rPr>
      <w:rFonts w:ascii="Times New Roman" w:eastAsia="Times New Roman" w:hAnsi="Times New Roman" w:cs="Times New Roman"/>
      <w:sz w:val="24"/>
      <w:szCs w:val="24"/>
      <w:lang w:eastAsia="fr-CA"/>
    </w:rPr>
  </w:style>
  <w:style w:type="character" w:customStyle="1" w:styleId="Corpsdetexte2Car">
    <w:name w:val="Corps de texte 2 Car"/>
    <w:basedOn w:val="Policepardfaut"/>
    <w:link w:val="Corpsdetexte2"/>
    <w:rsid w:val="00567527"/>
    <w:rPr>
      <w:rFonts w:ascii="Times New Roman" w:eastAsia="Times New Roman" w:hAnsi="Times New Roman" w:cs="Times New Roman"/>
      <w:sz w:val="24"/>
      <w:szCs w:val="24"/>
      <w:lang w:eastAsia="fr-CA"/>
    </w:rPr>
  </w:style>
  <w:style w:type="paragraph" w:styleId="Normalcentr">
    <w:name w:val="Block Text"/>
    <w:basedOn w:val="Normal"/>
    <w:rsid w:val="00567527"/>
    <w:pPr>
      <w:spacing w:after="0" w:line="240" w:lineRule="auto"/>
      <w:ind w:left="2520" w:right="1440" w:hanging="1080"/>
      <w:jc w:val="both"/>
    </w:pPr>
    <w:rPr>
      <w:rFonts w:ascii="Arial Narrow" w:eastAsia="Times New Roman" w:hAnsi="Arial Narrow"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54966">
      <w:bodyDiv w:val="1"/>
      <w:marLeft w:val="0"/>
      <w:marRight w:val="0"/>
      <w:marTop w:val="0"/>
      <w:marBottom w:val="0"/>
      <w:divBdr>
        <w:top w:val="none" w:sz="0" w:space="0" w:color="auto"/>
        <w:left w:val="none" w:sz="0" w:space="0" w:color="auto"/>
        <w:bottom w:val="none" w:sz="0" w:space="0" w:color="auto"/>
        <w:right w:val="none" w:sz="0" w:space="0" w:color="auto"/>
      </w:divBdr>
      <w:divsChild>
        <w:div w:id="669605006">
          <w:marLeft w:val="0"/>
          <w:marRight w:val="0"/>
          <w:marTop w:val="480"/>
          <w:marBottom w:val="480"/>
          <w:divBdr>
            <w:top w:val="none" w:sz="0" w:space="0" w:color="auto"/>
            <w:left w:val="none" w:sz="0" w:space="0" w:color="auto"/>
            <w:bottom w:val="none" w:sz="0" w:space="0" w:color="auto"/>
            <w:right w:val="none" w:sz="0" w:space="0" w:color="auto"/>
          </w:divBdr>
          <w:divsChild>
            <w:div w:id="1175457033">
              <w:marLeft w:val="0"/>
              <w:marRight w:val="0"/>
              <w:marTop w:val="0"/>
              <w:marBottom w:val="0"/>
              <w:divBdr>
                <w:top w:val="none" w:sz="0" w:space="0" w:color="auto"/>
                <w:left w:val="none" w:sz="0" w:space="0" w:color="auto"/>
                <w:bottom w:val="none" w:sz="0" w:space="0" w:color="auto"/>
                <w:right w:val="none" w:sz="0" w:space="0" w:color="auto"/>
              </w:divBdr>
            </w:div>
          </w:divsChild>
        </w:div>
        <w:div w:id="684751949">
          <w:marLeft w:val="0"/>
          <w:marRight w:val="0"/>
          <w:marTop w:val="480"/>
          <w:marBottom w:val="480"/>
          <w:divBdr>
            <w:top w:val="none" w:sz="0" w:space="0" w:color="auto"/>
            <w:left w:val="none" w:sz="0" w:space="0" w:color="auto"/>
            <w:bottom w:val="none" w:sz="0" w:space="0" w:color="auto"/>
            <w:right w:val="none" w:sz="0" w:space="0" w:color="auto"/>
          </w:divBdr>
          <w:divsChild>
            <w:div w:id="7916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fr/ShowDoc/cs/A-19.1" TargetMode="External"/><Relationship Id="rId13" Type="http://schemas.openxmlformats.org/officeDocument/2006/relationships/hyperlink" Target="http://legisquebec.gouv.qc.ca/fr/ShowDoc/cs/F-2.1" TargetMode="External"/><Relationship Id="rId18" Type="http://schemas.openxmlformats.org/officeDocument/2006/relationships/hyperlink" Target="http://legisquebec.gouv.qc.ca/fr/ShowDoc/cs/S-8" TargetMode="External"/><Relationship Id="rId26" Type="http://schemas.openxmlformats.org/officeDocument/2006/relationships/hyperlink" Target="https://portneuf.ca/amenagement-territoire/gestion-cours-eau-milieux-humid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gisquebec.gouv.qc.ca/fr/ShowDoc/cs/M-24.01" TargetMode="External"/><Relationship Id="rId34" Type="http://schemas.openxmlformats.org/officeDocument/2006/relationships/hyperlink" Target="https://portneuf.ca/citoyens/programmes-aide-renovation-domiciliaire" TargetMode="External"/><Relationship Id="rId7" Type="http://schemas.openxmlformats.org/officeDocument/2006/relationships/endnotes" Target="endnotes.xml"/><Relationship Id="rId12" Type="http://schemas.openxmlformats.org/officeDocument/2006/relationships/hyperlink" Target="http://legisquebec.gouv.qc.ca/fr/ShowDoc/cs/C-47.1" TargetMode="External"/><Relationship Id="rId17" Type="http://schemas.openxmlformats.org/officeDocument/2006/relationships/hyperlink" Target="http://legisquebec.gouv.qc.ca/fr/ShowDoc/cs/P-41.1" TargetMode="External"/><Relationship Id="rId25" Type="http://schemas.openxmlformats.org/officeDocument/2006/relationships/hyperlink" Target="https://portneuf.ca/amenagement-territoire/territoires-non-organises/" TargetMode="External"/><Relationship Id="rId33" Type="http://schemas.openxmlformats.org/officeDocument/2006/relationships/hyperlink" Target="https://portneuf.ca/citoyens/baux-villegiature-tn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isquebec.gouv.qc.ca/fr/ShowDoc/cs/Q-2" TargetMode="External"/><Relationship Id="rId20" Type="http://schemas.openxmlformats.org/officeDocument/2006/relationships/hyperlink" Target="http://legisquebec.gouv.qc.ca/fr/ShowDoc/cs/T-8.1" TargetMode="External"/><Relationship Id="rId29" Type="http://schemas.openxmlformats.org/officeDocument/2006/relationships/hyperlink" Target="https://portneuf.ca/mrc/securite-incen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S-2.3" TargetMode="External"/><Relationship Id="rId24" Type="http://schemas.openxmlformats.org/officeDocument/2006/relationships/hyperlink" Target="https://portneuf.ca/citoyens/evaluation-fonciere" TargetMode="External"/><Relationship Id="rId32" Type="http://schemas.openxmlformats.org/officeDocument/2006/relationships/hyperlink" Target="https://portneuf.ca/citoyens/transport-collectif-adapt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gisquebec.gouv.qc.ca/fr/ShowDoc/cs/P-13.1/" TargetMode="External"/><Relationship Id="rId23" Type="http://schemas.openxmlformats.org/officeDocument/2006/relationships/hyperlink" Target="https://portneuf.ca/amenagement-territoire/schema-amenagement-developpement" TargetMode="External"/><Relationship Id="rId28" Type="http://schemas.openxmlformats.org/officeDocument/2006/relationships/hyperlink" Target="https://portneuf.ca/amenagement-territoire/gestion-matieres-residuelles" TargetMode="External"/><Relationship Id="rId36" Type="http://schemas.openxmlformats.org/officeDocument/2006/relationships/hyperlink" Target="https://portneuf.ca/mrc/securite-publique" TargetMode="External"/><Relationship Id="rId10" Type="http://schemas.openxmlformats.org/officeDocument/2006/relationships/hyperlink" Target="http://legisquebec.gouv.qc.ca/fr/ShowDoc/cs/S-3.4" TargetMode="External"/><Relationship Id="rId19" Type="http://schemas.openxmlformats.org/officeDocument/2006/relationships/hyperlink" Target="http://legisquebec.gouv.qc.ca/fr/ShowDoc/cs/F-4.1" TargetMode="External"/><Relationship Id="rId31" Type="http://schemas.openxmlformats.org/officeDocument/2006/relationships/hyperlink" Target="https://portneuf.ca/developpement-economique" TargetMode="External"/><Relationship Id="rId4" Type="http://schemas.openxmlformats.org/officeDocument/2006/relationships/settings" Target="settings.xml"/><Relationship Id="rId9" Type="http://schemas.openxmlformats.org/officeDocument/2006/relationships/hyperlink" Target="http://legisquebec.gouv.qc.ca/fr/ShowDoc/cs/O-9" TargetMode="External"/><Relationship Id="rId14" Type="http://schemas.openxmlformats.org/officeDocument/2006/relationships/hyperlink" Target="http://legisquebec.gouv.qc.ca/fr/ShowDoc/cs/C-27.1" TargetMode="External"/><Relationship Id="rId22" Type="http://schemas.openxmlformats.org/officeDocument/2006/relationships/hyperlink" Target="https://www.mamot.gouv.qc.ca/fileadmin/publications/amenagement_territoire/documentation/competences_mrc.pdf" TargetMode="External"/><Relationship Id="rId27" Type="http://schemas.openxmlformats.org/officeDocument/2006/relationships/hyperlink" Target="https://portneuf.ca/mrc/ventes-pour-taxes/" TargetMode="External"/><Relationship Id="rId30" Type="http://schemas.openxmlformats.org/officeDocument/2006/relationships/hyperlink" Target="https://portneuf.ca/developpement-economique/portneuf-2030" TargetMode="External"/><Relationship Id="rId35" Type="http://schemas.openxmlformats.org/officeDocument/2006/relationships/hyperlink" Target="https://portneuf.ca/amenagement-territoire/gestion-parcs-regionau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7F75-DDF4-44EF-A715-533734F4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602</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D'Anjou</dc:creator>
  <cp:keywords/>
  <dc:description/>
  <cp:lastModifiedBy>Stéphane Lépine</cp:lastModifiedBy>
  <cp:revision>3</cp:revision>
  <dcterms:created xsi:type="dcterms:W3CDTF">2021-07-08T15:24:00Z</dcterms:created>
  <dcterms:modified xsi:type="dcterms:W3CDTF">2021-07-08T19:18:00Z</dcterms:modified>
</cp:coreProperties>
</file>