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BE" w:rsidRDefault="00152E4B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08176" cy="3646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76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CBE" w:rsidRDefault="00D41CBE">
      <w:pPr>
        <w:pStyle w:val="Corpsdetexte"/>
        <w:rPr>
          <w:rFonts w:ascii="Times New Roman"/>
          <w:sz w:val="20"/>
        </w:rPr>
      </w:pPr>
    </w:p>
    <w:p w:rsidR="00D41CBE" w:rsidRDefault="00D41CBE">
      <w:pPr>
        <w:pStyle w:val="Corpsdetexte"/>
        <w:rPr>
          <w:rFonts w:ascii="Times New Roman"/>
          <w:sz w:val="20"/>
        </w:rPr>
      </w:pPr>
    </w:p>
    <w:p w:rsidR="00D41CBE" w:rsidRDefault="00D41CBE">
      <w:pPr>
        <w:pStyle w:val="Corpsdetexte"/>
        <w:rPr>
          <w:rFonts w:ascii="Times New Roman"/>
          <w:sz w:val="20"/>
        </w:rPr>
      </w:pPr>
    </w:p>
    <w:p w:rsidR="00D41CBE" w:rsidRDefault="00152E4B">
      <w:pPr>
        <w:spacing w:before="196"/>
        <w:ind w:left="100"/>
        <w:rPr>
          <w:rFonts w:ascii="Calibri"/>
          <w:sz w:val="32"/>
        </w:rPr>
      </w:pPr>
      <w:r>
        <w:rPr>
          <w:rFonts w:ascii="Calibri"/>
          <w:sz w:val="32"/>
        </w:rPr>
        <w:t>PUBLICATION DE LA LISTE DES CONTRATS REQUISE PAR LA LOI</w:t>
      </w:r>
    </w:p>
    <w:p w:rsidR="00D41CBE" w:rsidRDefault="00152E4B">
      <w:pPr>
        <w:pStyle w:val="Corpsdetexte"/>
        <w:spacing w:before="190" w:line="259" w:lineRule="auto"/>
        <w:ind w:left="100" w:right="115"/>
        <w:jc w:val="both"/>
      </w:pPr>
      <w:r>
        <w:t>Selon l’article 474.1 de la Loi sur les cités et villes, les Villes doivent publier sur leur site Internet la liste de tous les contrats de plus de 2 000 $ conclus avec un même cocontractant et dont la somme de ces contrats est supérieure à 25 000 $. Voici la liste pour la période du 1</w:t>
      </w:r>
      <w:r>
        <w:rPr>
          <w:position w:val="6"/>
          <w:sz w:val="14"/>
        </w:rPr>
        <w:t xml:space="preserve">er </w:t>
      </w:r>
      <w:r>
        <w:t>janvier au 31 décembre 201</w:t>
      </w:r>
      <w:r w:rsidR="00383702">
        <w:t>8</w:t>
      </w:r>
      <w:r>
        <w:t>.</w:t>
      </w:r>
    </w:p>
    <w:p w:rsidR="00D41CBE" w:rsidRDefault="00D41CBE">
      <w:pPr>
        <w:pStyle w:val="Corpsdetexte"/>
        <w:rPr>
          <w:sz w:val="20"/>
        </w:rPr>
      </w:pPr>
    </w:p>
    <w:p w:rsidR="00383702" w:rsidRDefault="00383702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542"/>
        <w:gridCol w:w="1831"/>
      </w:tblGrid>
      <w:tr w:rsidR="00383702" w:rsidTr="00E7419B">
        <w:trPr>
          <w:trHeight w:val="270"/>
        </w:trPr>
        <w:tc>
          <w:tcPr>
            <w:tcW w:w="3257" w:type="dxa"/>
            <w:shd w:val="clear" w:color="auto" w:fill="D9D9D9"/>
          </w:tcPr>
          <w:p w:rsidR="00383702" w:rsidRDefault="00383702" w:rsidP="00E7419B">
            <w:pPr>
              <w:pStyle w:val="TableParagraph"/>
              <w:ind w:left="873"/>
              <w:rPr>
                <w:b/>
              </w:rPr>
            </w:pPr>
            <w:r>
              <w:rPr>
                <w:b/>
              </w:rPr>
              <w:t>FOURNISSEURS</w:t>
            </w:r>
          </w:p>
        </w:tc>
        <w:tc>
          <w:tcPr>
            <w:tcW w:w="3542" w:type="dxa"/>
            <w:shd w:val="clear" w:color="auto" w:fill="D9D9D9"/>
          </w:tcPr>
          <w:p w:rsidR="00383702" w:rsidRDefault="00383702" w:rsidP="00E7419B">
            <w:pPr>
              <w:pStyle w:val="TableParagraph"/>
              <w:ind w:left="1087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31" w:type="dxa"/>
            <w:shd w:val="clear" w:color="auto" w:fill="D9D9D9"/>
          </w:tcPr>
          <w:p w:rsidR="00383702" w:rsidRDefault="00383702" w:rsidP="00E7419B">
            <w:pPr>
              <w:pStyle w:val="TableParagraph"/>
              <w:ind w:left="255" w:right="243"/>
              <w:jc w:val="center"/>
              <w:rPr>
                <w:b/>
              </w:rPr>
            </w:pPr>
            <w:r>
              <w:rPr>
                <w:b/>
              </w:rPr>
              <w:t>MONTANT $</w:t>
            </w:r>
          </w:p>
        </w:tc>
      </w:tr>
      <w:tr w:rsidR="000274A0" w:rsidTr="00E7419B">
        <w:trPr>
          <w:trHeight w:val="268"/>
        </w:trPr>
        <w:tc>
          <w:tcPr>
            <w:tcW w:w="3257" w:type="dxa"/>
          </w:tcPr>
          <w:p w:rsidR="000274A0" w:rsidRDefault="000274A0" w:rsidP="000274A0">
            <w:pPr>
              <w:pStyle w:val="TableParagraph"/>
              <w:spacing w:line="248" w:lineRule="exact"/>
            </w:pPr>
            <w:r>
              <w:t>G</w:t>
            </w:r>
            <w:r w:rsidR="009B04D1">
              <w:t>ROUPE ALTUS LTÉE</w:t>
            </w:r>
          </w:p>
        </w:tc>
        <w:tc>
          <w:tcPr>
            <w:tcW w:w="3542" w:type="dxa"/>
          </w:tcPr>
          <w:p w:rsidR="000274A0" w:rsidRDefault="000274A0" w:rsidP="000274A0">
            <w:pPr>
              <w:pStyle w:val="TableParagraph"/>
              <w:spacing w:line="248" w:lineRule="exact"/>
              <w:ind w:left="108"/>
            </w:pPr>
            <w:r>
              <w:t>Honoraires professionnels</w:t>
            </w:r>
          </w:p>
        </w:tc>
        <w:tc>
          <w:tcPr>
            <w:tcW w:w="1831" w:type="dxa"/>
          </w:tcPr>
          <w:p w:rsidR="000274A0" w:rsidRDefault="000274A0" w:rsidP="000274A0">
            <w:pPr>
              <w:pStyle w:val="TableParagraph"/>
              <w:spacing w:line="248" w:lineRule="exact"/>
              <w:ind w:left="255" w:right="243"/>
              <w:jc w:val="center"/>
            </w:pPr>
            <w:r>
              <w:t>171 248.90 $</w:t>
            </w:r>
          </w:p>
        </w:tc>
      </w:tr>
      <w:tr w:rsidR="009B04D1" w:rsidTr="00E7419B">
        <w:trPr>
          <w:trHeight w:val="270"/>
        </w:trPr>
        <w:tc>
          <w:tcPr>
            <w:tcW w:w="3257" w:type="dxa"/>
          </w:tcPr>
          <w:p w:rsidR="009B04D1" w:rsidRDefault="009B04D1" w:rsidP="000274A0">
            <w:pPr>
              <w:pStyle w:val="TableParagraph"/>
              <w:spacing w:before="1" w:line="249" w:lineRule="exact"/>
            </w:pPr>
            <w:r>
              <w:t>FIDUCIE DESJARDINS</w:t>
            </w:r>
          </w:p>
        </w:tc>
        <w:tc>
          <w:tcPr>
            <w:tcW w:w="3542" w:type="dxa"/>
          </w:tcPr>
          <w:p w:rsidR="009B04D1" w:rsidRDefault="009B04D1" w:rsidP="000274A0">
            <w:pPr>
              <w:pStyle w:val="TableParagraph"/>
              <w:spacing w:before="1" w:line="249" w:lineRule="exact"/>
              <w:ind w:left="108"/>
            </w:pPr>
            <w:r>
              <w:t>Remise Fonds de pension</w:t>
            </w:r>
          </w:p>
        </w:tc>
        <w:tc>
          <w:tcPr>
            <w:tcW w:w="1831" w:type="dxa"/>
          </w:tcPr>
          <w:p w:rsidR="009B04D1" w:rsidRDefault="009B04D1" w:rsidP="000274A0">
            <w:pPr>
              <w:pStyle w:val="TableParagraph"/>
              <w:spacing w:before="1" w:line="249" w:lineRule="exact"/>
              <w:ind w:left="255" w:right="243"/>
              <w:jc w:val="center"/>
            </w:pPr>
            <w:r>
              <w:t>82 093.12 $</w:t>
            </w:r>
          </w:p>
        </w:tc>
      </w:tr>
      <w:tr w:rsidR="009B04D1" w:rsidTr="00E7419B">
        <w:trPr>
          <w:trHeight w:val="270"/>
        </w:trPr>
        <w:tc>
          <w:tcPr>
            <w:tcW w:w="3257" w:type="dxa"/>
          </w:tcPr>
          <w:p w:rsidR="009B04D1" w:rsidRDefault="009B04D1" w:rsidP="000274A0">
            <w:pPr>
              <w:pStyle w:val="TableParagraph"/>
              <w:spacing w:before="1" w:line="249" w:lineRule="exact"/>
            </w:pPr>
            <w:r>
              <w:t>GROUPE GID DESIGN</w:t>
            </w:r>
          </w:p>
        </w:tc>
        <w:tc>
          <w:tcPr>
            <w:tcW w:w="3542" w:type="dxa"/>
          </w:tcPr>
          <w:p w:rsidR="009B04D1" w:rsidRDefault="009B04D1" w:rsidP="000274A0">
            <w:pPr>
              <w:pStyle w:val="TableParagraph"/>
              <w:spacing w:before="1" w:line="249" w:lineRule="exact"/>
              <w:ind w:left="108"/>
            </w:pPr>
            <w:r>
              <w:t>Honoraires professionnels</w:t>
            </w:r>
          </w:p>
        </w:tc>
        <w:tc>
          <w:tcPr>
            <w:tcW w:w="1831" w:type="dxa"/>
          </w:tcPr>
          <w:p w:rsidR="009B04D1" w:rsidRDefault="009B04D1" w:rsidP="000274A0">
            <w:pPr>
              <w:pStyle w:val="TableParagraph"/>
              <w:spacing w:before="1" w:line="249" w:lineRule="exact"/>
              <w:ind w:left="255" w:right="243"/>
              <w:jc w:val="center"/>
            </w:pPr>
            <w:r>
              <w:t>61 454.11 $</w:t>
            </w:r>
          </w:p>
        </w:tc>
      </w:tr>
      <w:tr w:rsidR="000274A0" w:rsidTr="00E7419B">
        <w:trPr>
          <w:trHeight w:val="270"/>
        </w:trPr>
        <w:tc>
          <w:tcPr>
            <w:tcW w:w="3257" w:type="dxa"/>
          </w:tcPr>
          <w:p w:rsidR="000274A0" w:rsidRDefault="000274A0" w:rsidP="000274A0">
            <w:pPr>
              <w:pStyle w:val="TableParagraph"/>
              <w:spacing w:before="1" w:line="249" w:lineRule="exact"/>
            </w:pPr>
            <w:r>
              <w:t>HYDRO QUÉBEC</w:t>
            </w:r>
          </w:p>
        </w:tc>
        <w:tc>
          <w:tcPr>
            <w:tcW w:w="3542" w:type="dxa"/>
          </w:tcPr>
          <w:p w:rsidR="000274A0" w:rsidRDefault="000274A0" w:rsidP="000274A0">
            <w:pPr>
              <w:pStyle w:val="TableParagraph"/>
              <w:spacing w:before="1" w:line="249" w:lineRule="exact"/>
              <w:ind w:left="108"/>
            </w:pPr>
            <w:r>
              <w:t>Électricité</w:t>
            </w:r>
          </w:p>
        </w:tc>
        <w:tc>
          <w:tcPr>
            <w:tcW w:w="1831" w:type="dxa"/>
          </w:tcPr>
          <w:p w:rsidR="000274A0" w:rsidRDefault="009B04D1" w:rsidP="000274A0">
            <w:pPr>
              <w:pStyle w:val="TableParagraph"/>
              <w:spacing w:before="1" w:line="249" w:lineRule="exact"/>
              <w:ind w:left="255" w:right="243"/>
              <w:jc w:val="center"/>
            </w:pPr>
            <w:r>
              <w:t>46 212.68</w:t>
            </w:r>
            <w:r w:rsidR="000274A0">
              <w:t xml:space="preserve"> $</w:t>
            </w:r>
          </w:p>
        </w:tc>
      </w:tr>
      <w:tr w:rsidR="000274A0" w:rsidTr="00E7419B">
        <w:trPr>
          <w:trHeight w:val="808"/>
        </w:trPr>
        <w:tc>
          <w:tcPr>
            <w:tcW w:w="3257" w:type="dxa"/>
          </w:tcPr>
          <w:p w:rsidR="000274A0" w:rsidRDefault="000274A0" w:rsidP="000274A0">
            <w:pPr>
              <w:pStyle w:val="TableParagraph"/>
              <w:spacing w:line="269" w:lineRule="exact"/>
            </w:pPr>
            <w:r>
              <w:t>K2 GÉOSPATIAL</w:t>
            </w:r>
          </w:p>
        </w:tc>
        <w:tc>
          <w:tcPr>
            <w:tcW w:w="3542" w:type="dxa"/>
          </w:tcPr>
          <w:p w:rsidR="000274A0" w:rsidRDefault="000274A0" w:rsidP="00152E4B">
            <w:pPr>
              <w:pStyle w:val="TableParagraph"/>
              <w:tabs>
                <w:tab w:val="left" w:pos="1396"/>
                <w:tab w:val="left" w:pos="2557"/>
                <w:tab w:val="left" w:pos="3161"/>
              </w:tabs>
              <w:spacing w:line="240" w:lineRule="auto"/>
              <w:ind w:left="108" w:right="92"/>
            </w:pPr>
            <w:r>
              <w:t>Hébergement,</w:t>
            </w:r>
            <w:r>
              <w:tab/>
            </w:r>
            <w:r>
              <w:rPr>
                <w:spacing w:val="-3"/>
              </w:rPr>
              <w:t xml:space="preserve">location </w:t>
            </w:r>
            <w:r>
              <w:t>licences,</w:t>
            </w:r>
            <w:r w:rsidR="00152E4B">
              <w:t xml:space="preserve"> </w:t>
            </w:r>
            <w:r>
              <w:t>cartographie</w:t>
            </w:r>
            <w:r w:rsidR="009B04D1">
              <w:t xml:space="preserve"> </w:t>
            </w:r>
            <w:r>
              <w:rPr>
                <w:spacing w:val="-15"/>
              </w:rPr>
              <w:t>en</w:t>
            </w:r>
            <w:r w:rsidR="00152E4B">
              <w:t xml:space="preserve"> </w:t>
            </w:r>
            <w:r>
              <w:t xml:space="preserve">ligne, formation </w:t>
            </w:r>
            <w:proofErr w:type="spellStart"/>
            <w:r>
              <w:t>JMap</w:t>
            </w:r>
            <w:proofErr w:type="spellEnd"/>
          </w:p>
        </w:tc>
        <w:tc>
          <w:tcPr>
            <w:tcW w:w="1831" w:type="dxa"/>
          </w:tcPr>
          <w:p w:rsidR="000274A0" w:rsidRDefault="009B04D1" w:rsidP="000274A0">
            <w:pPr>
              <w:pStyle w:val="TableParagraph"/>
              <w:spacing w:line="269" w:lineRule="exact"/>
              <w:ind w:left="255" w:right="243"/>
              <w:jc w:val="center"/>
            </w:pPr>
            <w:r>
              <w:t>46 564.88</w:t>
            </w:r>
            <w:r w:rsidR="000274A0">
              <w:t xml:space="preserve"> $</w:t>
            </w:r>
          </w:p>
        </w:tc>
      </w:tr>
      <w:tr w:rsidR="009B04D1" w:rsidTr="00E7419B">
        <w:trPr>
          <w:trHeight w:val="539"/>
        </w:trPr>
        <w:tc>
          <w:tcPr>
            <w:tcW w:w="3257" w:type="dxa"/>
          </w:tcPr>
          <w:p w:rsidR="009B04D1" w:rsidRDefault="009B04D1" w:rsidP="000274A0">
            <w:pPr>
              <w:pStyle w:val="TableParagraph"/>
              <w:spacing w:before="3" w:line="272" w:lineRule="exact"/>
            </w:pPr>
            <w:r>
              <w:t>LGP STRATÉGIES IMMOBILIÈRES</w:t>
            </w:r>
          </w:p>
        </w:tc>
        <w:tc>
          <w:tcPr>
            <w:tcW w:w="3542" w:type="dxa"/>
          </w:tcPr>
          <w:p w:rsidR="009B04D1" w:rsidRDefault="009B04D1" w:rsidP="000274A0">
            <w:pPr>
              <w:pStyle w:val="TableParagraph"/>
              <w:spacing w:line="269" w:lineRule="exact"/>
              <w:ind w:left="108"/>
            </w:pPr>
            <w:r>
              <w:t>Honoraires professionnels</w:t>
            </w:r>
          </w:p>
        </w:tc>
        <w:tc>
          <w:tcPr>
            <w:tcW w:w="1831" w:type="dxa"/>
          </w:tcPr>
          <w:p w:rsidR="009B04D1" w:rsidRDefault="009B04D1" w:rsidP="000274A0">
            <w:pPr>
              <w:pStyle w:val="TableParagraph"/>
              <w:spacing w:line="269" w:lineRule="exact"/>
              <w:ind w:left="257" w:right="243"/>
              <w:jc w:val="center"/>
            </w:pPr>
            <w:r>
              <w:t>25 446.25 $</w:t>
            </w:r>
          </w:p>
        </w:tc>
      </w:tr>
      <w:tr w:rsidR="000274A0" w:rsidTr="00E7419B">
        <w:trPr>
          <w:trHeight w:val="539"/>
        </w:trPr>
        <w:tc>
          <w:tcPr>
            <w:tcW w:w="3257" w:type="dxa"/>
          </w:tcPr>
          <w:p w:rsidR="000274A0" w:rsidRDefault="000274A0" w:rsidP="000274A0">
            <w:pPr>
              <w:pStyle w:val="TableParagraph"/>
              <w:spacing w:before="3" w:line="272" w:lineRule="exact"/>
            </w:pPr>
            <w:r>
              <w:t>MINISTÈRE DU REVENU DU QUÉBEC</w:t>
            </w:r>
          </w:p>
        </w:tc>
        <w:tc>
          <w:tcPr>
            <w:tcW w:w="3542" w:type="dxa"/>
          </w:tcPr>
          <w:p w:rsidR="000274A0" w:rsidRDefault="000274A0" w:rsidP="000274A0">
            <w:pPr>
              <w:pStyle w:val="TableParagraph"/>
              <w:spacing w:line="269" w:lineRule="exact"/>
              <w:ind w:left="108"/>
            </w:pPr>
            <w:r>
              <w:t>Remises déductions à la source</w:t>
            </w:r>
          </w:p>
        </w:tc>
        <w:tc>
          <w:tcPr>
            <w:tcW w:w="1831" w:type="dxa"/>
          </w:tcPr>
          <w:p w:rsidR="000274A0" w:rsidRDefault="009B04D1" w:rsidP="000274A0">
            <w:pPr>
              <w:pStyle w:val="TableParagraph"/>
              <w:spacing w:line="269" w:lineRule="exact"/>
              <w:ind w:left="257" w:right="243"/>
              <w:jc w:val="center"/>
            </w:pPr>
            <w:r>
              <w:t>771 706.46</w:t>
            </w:r>
            <w:r w:rsidR="000274A0">
              <w:t xml:space="preserve"> $</w:t>
            </w:r>
          </w:p>
        </w:tc>
      </w:tr>
      <w:tr w:rsidR="009B04D1" w:rsidTr="00E7419B">
        <w:trPr>
          <w:trHeight w:val="532"/>
        </w:trPr>
        <w:tc>
          <w:tcPr>
            <w:tcW w:w="3257" w:type="dxa"/>
          </w:tcPr>
          <w:p w:rsidR="009B04D1" w:rsidRDefault="009B04D1" w:rsidP="000274A0">
            <w:pPr>
              <w:pStyle w:val="TableParagraph"/>
              <w:tabs>
                <w:tab w:val="left" w:pos="1525"/>
                <w:tab w:val="left" w:pos="2838"/>
              </w:tabs>
              <w:spacing w:line="262" w:lineRule="exact"/>
            </w:pPr>
            <w:r>
              <w:t>PG SOLUTIONS INC</w:t>
            </w:r>
          </w:p>
        </w:tc>
        <w:tc>
          <w:tcPr>
            <w:tcW w:w="3542" w:type="dxa"/>
          </w:tcPr>
          <w:p w:rsidR="009B04D1" w:rsidRDefault="00152E4B" w:rsidP="000274A0">
            <w:pPr>
              <w:pStyle w:val="TableParagraph"/>
              <w:spacing w:line="262" w:lineRule="exact"/>
              <w:ind w:left="108"/>
            </w:pPr>
            <w:r>
              <w:t xml:space="preserve">Honoraires professionnels, licences et entretien de </w:t>
            </w:r>
            <w:proofErr w:type="spellStart"/>
            <w:r>
              <w:t>MégaÉval</w:t>
            </w:r>
            <w:proofErr w:type="spellEnd"/>
            <w:r>
              <w:t xml:space="preserve">, </w:t>
            </w:r>
            <w:proofErr w:type="spellStart"/>
            <w:r>
              <w:t>MégaGest</w:t>
            </w:r>
            <w:proofErr w:type="spellEnd"/>
            <w:r>
              <w:t>, Gestion des permis, Évaluation en ligne</w:t>
            </w:r>
          </w:p>
        </w:tc>
        <w:tc>
          <w:tcPr>
            <w:tcW w:w="1831" w:type="dxa"/>
          </w:tcPr>
          <w:p w:rsidR="009B04D1" w:rsidRDefault="009B04D1" w:rsidP="000274A0">
            <w:pPr>
              <w:pStyle w:val="TableParagraph"/>
              <w:spacing w:line="262" w:lineRule="exact"/>
              <w:ind w:left="257" w:right="243"/>
              <w:jc w:val="center"/>
            </w:pPr>
            <w:r>
              <w:t>228 311.55 $</w:t>
            </w:r>
          </w:p>
        </w:tc>
      </w:tr>
      <w:tr w:rsidR="000274A0" w:rsidTr="00E7419B">
        <w:trPr>
          <w:trHeight w:val="532"/>
        </w:trPr>
        <w:tc>
          <w:tcPr>
            <w:tcW w:w="3257" w:type="dxa"/>
          </w:tcPr>
          <w:p w:rsidR="000274A0" w:rsidRDefault="000274A0" w:rsidP="000274A0">
            <w:pPr>
              <w:pStyle w:val="TableParagraph"/>
              <w:tabs>
                <w:tab w:val="left" w:pos="1525"/>
                <w:tab w:val="left" w:pos="2838"/>
              </w:tabs>
              <w:spacing w:line="262" w:lineRule="exact"/>
            </w:pPr>
            <w:r>
              <w:t>RECEVEUR</w:t>
            </w:r>
            <w:r>
              <w:tab/>
              <w:t>GÉNÉRAL</w:t>
            </w:r>
            <w:r>
              <w:tab/>
              <w:t>DU</w:t>
            </w:r>
          </w:p>
          <w:p w:rsidR="000274A0" w:rsidRDefault="000274A0" w:rsidP="000274A0">
            <w:pPr>
              <w:pStyle w:val="TableParagraph"/>
              <w:spacing w:before="1" w:line="249" w:lineRule="exact"/>
            </w:pPr>
            <w:r>
              <w:t>CANADA</w:t>
            </w:r>
          </w:p>
        </w:tc>
        <w:tc>
          <w:tcPr>
            <w:tcW w:w="3542" w:type="dxa"/>
          </w:tcPr>
          <w:p w:rsidR="000274A0" w:rsidRDefault="000274A0" w:rsidP="000274A0">
            <w:pPr>
              <w:pStyle w:val="TableParagraph"/>
              <w:spacing w:line="262" w:lineRule="exact"/>
              <w:ind w:left="108"/>
            </w:pPr>
            <w:r>
              <w:t>Remises déductions à la source</w:t>
            </w:r>
          </w:p>
        </w:tc>
        <w:tc>
          <w:tcPr>
            <w:tcW w:w="1831" w:type="dxa"/>
          </w:tcPr>
          <w:p w:rsidR="000274A0" w:rsidRDefault="00152E4B" w:rsidP="000274A0">
            <w:pPr>
              <w:pStyle w:val="TableParagraph"/>
              <w:spacing w:line="262" w:lineRule="exact"/>
              <w:ind w:left="257" w:right="243"/>
              <w:jc w:val="center"/>
            </w:pPr>
            <w:r>
              <w:t>310 410.47</w:t>
            </w:r>
            <w:r w:rsidR="000274A0">
              <w:t xml:space="preserve"> $</w:t>
            </w:r>
          </w:p>
        </w:tc>
      </w:tr>
      <w:tr w:rsidR="00152E4B" w:rsidTr="00E7419B">
        <w:trPr>
          <w:trHeight w:val="270"/>
        </w:trPr>
        <w:tc>
          <w:tcPr>
            <w:tcW w:w="3257" w:type="dxa"/>
          </w:tcPr>
          <w:p w:rsidR="00152E4B" w:rsidRDefault="00152E4B" w:rsidP="000274A0">
            <w:pPr>
              <w:pStyle w:val="TableParagraph"/>
            </w:pPr>
            <w:r>
              <w:t>SMI PERFORMANCE</w:t>
            </w:r>
          </w:p>
        </w:tc>
        <w:tc>
          <w:tcPr>
            <w:tcW w:w="3542" w:type="dxa"/>
          </w:tcPr>
          <w:p w:rsidR="00152E4B" w:rsidRDefault="00152E4B" w:rsidP="000274A0">
            <w:pPr>
              <w:pStyle w:val="TableParagraph"/>
              <w:ind w:left="108"/>
            </w:pPr>
            <w:r>
              <w:t>Honoraires professionnels</w:t>
            </w:r>
          </w:p>
        </w:tc>
        <w:tc>
          <w:tcPr>
            <w:tcW w:w="1831" w:type="dxa"/>
          </w:tcPr>
          <w:p w:rsidR="00152E4B" w:rsidRDefault="00152E4B" w:rsidP="000274A0">
            <w:pPr>
              <w:pStyle w:val="TableParagraph"/>
              <w:ind w:left="255" w:right="243"/>
              <w:jc w:val="center"/>
            </w:pPr>
            <w:r>
              <w:t>36 637.24 $</w:t>
            </w:r>
          </w:p>
        </w:tc>
      </w:tr>
      <w:tr w:rsidR="00152E4B" w:rsidTr="00E7419B">
        <w:trPr>
          <w:trHeight w:val="270"/>
        </w:trPr>
        <w:tc>
          <w:tcPr>
            <w:tcW w:w="3257" w:type="dxa"/>
          </w:tcPr>
          <w:p w:rsidR="00152E4B" w:rsidRDefault="00152E4B" w:rsidP="00152E4B">
            <w:pPr>
              <w:pStyle w:val="TableParagraph"/>
              <w:spacing w:before="4" w:line="270" w:lineRule="exact"/>
            </w:pPr>
            <w:r>
              <w:t>SSQ, SOCIÉTÉ D’ASSURANCE- VIE</w:t>
            </w:r>
          </w:p>
        </w:tc>
        <w:tc>
          <w:tcPr>
            <w:tcW w:w="3542" w:type="dxa"/>
          </w:tcPr>
          <w:p w:rsidR="00152E4B" w:rsidRDefault="00152E4B" w:rsidP="00152E4B">
            <w:pPr>
              <w:pStyle w:val="TableParagraph"/>
              <w:spacing w:line="269" w:lineRule="exact"/>
              <w:ind w:left="108"/>
            </w:pPr>
            <w:r>
              <w:t>Assurances collectives</w:t>
            </w:r>
          </w:p>
        </w:tc>
        <w:tc>
          <w:tcPr>
            <w:tcW w:w="1831" w:type="dxa"/>
          </w:tcPr>
          <w:p w:rsidR="00152E4B" w:rsidRDefault="00152E4B" w:rsidP="00152E4B">
            <w:pPr>
              <w:pStyle w:val="TableParagraph"/>
              <w:spacing w:line="269" w:lineRule="exact"/>
              <w:ind w:left="257" w:right="243"/>
              <w:jc w:val="center"/>
            </w:pPr>
            <w:r>
              <w:t>194 602.81 $</w:t>
            </w:r>
          </w:p>
        </w:tc>
      </w:tr>
      <w:tr w:rsidR="00152E4B" w:rsidTr="00E7419B">
        <w:trPr>
          <w:trHeight w:val="540"/>
        </w:trPr>
        <w:tc>
          <w:tcPr>
            <w:tcW w:w="3257" w:type="dxa"/>
          </w:tcPr>
          <w:p w:rsidR="00152E4B" w:rsidRDefault="00152E4B" w:rsidP="00152E4B">
            <w:pPr>
              <w:pStyle w:val="TableParagraph"/>
              <w:spacing w:before="4" w:line="270" w:lineRule="exact"/>
            </w:pPr>
            <w:r>
              <w:t>SYNDICAT DES TRAVAILLEUSES ET TRAVAILLEURS</w:t>
            </w:r>
          </w:p>
        </w:tc>
        <w:tc>
          <w:tcPr>
            <w:tcW w:w="3542" w:type="dxa"/>
          </w:tcPr>
          <w:p w:rsidR="00152E4B" w:rsidRDefault="00152E4B" w:rsidP="00152E4B">
            <w:pPr>
              <w:pStyle w:val="TableParagraph"/>
              <w:spacing w:line="269" w:lineRule="exact"/>
              <w:ind w:left="108"/>
            </w:pPr>
            <w:r>
              <w:t>Cotisations syndicales</w:t>
            </w:r>
          </w:p>
        </w:tc>
        <w:tc>
          <w:tcPr>
            <w:tcW w:w="1831" w:type="dxa"/>
          </w:tcPr>
          <w:p w:rsidR="00152E4B" w:rsidRDefault="00152E4B" w:rsidP="00152E4B">
            <w:pPr>
              <w:pStyle w:val="TableParagraph"/>
              <w:spacing w:line="269" w:lineRule="exact"/>
              <w:ind w:left="257" w:right="243"/>
              <w:jc w:val="center"/>
            </w:pPr>
            <w:r>
              <w:t>28 459.34 $</w:t>
            </w:r>
          </w:p>
        </w:tc>
      </w:tr>
      <w:tr w:rsidR="00152E4B" w:rsidTr="00E7419B">
        <w:trPr>
          <w:trHeight w:val="540"/>
        </w:trPr>
        <w:tc>
          <w:tcPr>
            <w:tcW w:w="3257" w:type="dxa"/>
          </w:tcPr>
          <w:p w:rsidR="00152E4B" w:rsidRDefault="00152E4B" w:rsidP="00152E4B">
            <w:pPr>
              <w:pStyle w:val="TableParagraph"/>
              <w:spacing w:before="4" w:line="270" w:lineRule="exact"/>
            </w:pPr>
            <w:r>
              <w:t>TECHNIPC INFORMATIQUE</w:t>
            </w:r>
          </w:p>
        </w:tc>
        <w:tc>
          <w:tcPr>
            <w:tcW w:w="3542" w:type="dxa"/>
          </w:tcPr>
          <w:p w:rsidR="00152E4B" w:rsidRDefault="00152E4B" w:rsidP="00152E4B">
            <w:pPr>
              <w:pStyle w:val="TableParagraph"/>
              <w:spacing w:line="269" w:lineRule="exact"/>
              <w:ind w:left="108"/>
            </w:pPr>
            <w:r>
              <w:t>Matériel informatique</w:t>
            </w:r>
          </w:p>
        </w:tc>
        <w:tc>
          <w:tcPr>
            <w:tcW w:w="1831" w:type="dxa"/>
          </w:tcPr>
          <w:p w:rsidR="00152E4B" w:rsidRDefault="00152E4B" w:rsidP="00152E4B">
            <w:pPr>
              <w:pStyle w:val="TableParagraph"/>
              <w:spacing w:line="269" w:lineRule="exact"/>
              <w:ind w:left="257" w:right="243"/>
              <w:jc w:val="center"/>
            </w:pPr>
            <w:r>
              <w:t>25 060.95 $</w:t>
            </w:r>
          </w:p>
        </w:tc>
      </w:tr>
    </w:tbl>
    <w:p w:rsidR="00383702" w:rsidRDefault="00383702">
      <w:bookmarkStart w:id="0" w:name="_GoBack"/>
      <w:bookmarkEnd w:id="0"/>
    </w:p>
    <w:sectPr w:rsidR="00383702">
      <w:type w:val="continuous"/>
      <w:pgSz w:w="12240" w:h="15840"/>
      <w:pgMar w:top="14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CBE"/>
    <w:rsid w:val="000274A0"/>
    <w:rsid w:val="0012360B"/>
    <w:rsid w:val="00152E4B"/>
    <w:rsid w:val="00383702"/>
    <w:rsid w:val="009B04D1"/>
    <w:rsid w:val="00D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A0E736-8562-4310-B538-C6E1EB99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Lirette</dc:creator>
  <cp:lastModifiedBy>Caroline D'Anjou</cp:lastModifiedBy>
  <cp:revision>3</cp:revision>
  <dcterms:created xsi:type="dcterms:W3CDTF">2019-05-13T17:22:00Z</dcterms:created>
  <dcterms:modified xsi:type="dcterms:W3CDTF">2019-05-14T17:07:00Z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